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38" w:rsidRPr="00683CAC" w:rsidRDefault="00133538" w:rsidP="00133538">
      <w:pPr>
        <w:rPr>
          <w:b/>
          <w:caps/>
          <w:sz w:val="24"/>
          <w:szCs w:val="24"/>
        </w:rPr>
      </w:pPr>
      <w:r w:rsidRPr="00133538">
        <w:rPr>
          <w:b/>
          <w:caps/>
          <w:sz w:val="24"/>
          <w:szCs w:val="24"/>
        </w:rPr>
        <w:t xml:space="preserve">Vzor rozhodnutí o poskytnutí dotace  </w:t>
      </w:r>
    </w:p>
    <w:p w:rsidR="003C4D02" w:rsidRPr="00017811" w:rsidRDefault="003C4D02" w:rsidP="003C4D02">
      <w:r w:rsidRPr="00017811">
        <w:rPr>
          <w:highlight w:val="lightGray"/>
        </w:rPr>
        <w:t>Česká republika – Ministerstvo práce a sociálních věcí</w:t>
      </w:r>
      <w:r w:rsidRPr="00017811">
        <w:t xml:space="preserve"> </w:t>
      </w:r>
    </w:p>
    <w:p w:rsidR="003C4D02" w:rsidRPr="00017811" w:rsidRDefault="003C4D02" w:rsidP="003C4D02">
      <w:r w:rsidRPr="00017811">
        <w:rPr>
          <w:highlight w:val="lightGray"/>
        </w:rPr>
        <w:t>Odbor ………….</w:t>
      </w:r>
    </w:p>
    <w:p w:rsidR="003C4D02" w:rsidRPr="00017811" w:rsidRDefault="003C4D02" w:rsidP="003C4D02">
      <w:r w:rsidRPr="00017811">
        <w:rPr>
          <w:highlight w:val="lightGray"/>
        </w:rPr>
        <w:t>Na Poříčním právu 1</w:t>
      </w:r>
    </w:p>
    <w:p w:rsidR="003C4D02" w:rsidRPr="00017811" w:rsidRDefault="003C4D02" w:rsidP="003C4D02">
      <w:r w:rsidRPr="00017811">
        <w:rPr>
          <w:highlight w:val="lightGray"/>
        </w:rPr>
        <w:t>128 01 Praha 2</w:t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</w:p>
    <w:p w:rsidR="003C4D02" w:rsidRPr="00017811" w:rsidRDefault="003C4D02" w:rsidP="003C4D02">
      <w:pPr>
        <w:pStyle w:val="Zkladntext1"/>
        <w:jc w:val="left"/>
        <w:rPr>
          <w:rFonts w:ascii="Arial" w:hAnsi="Arial"/>
          <w:b w:val="0"/>
          <w:bCs w:val="0"/>
          <w:smallCaps w:val="0"/>
          <w:color w:val="auto"/>
          <w:sz w:val="22"/>
          <w:szCs w:val="22"/>
        </w:rPr>
      </w:pPr>
    </w:p>
    <w:p w:rsidR="003C4D02" w:rsidRPr="00F77413" w:rsidRDefault="003C4D02" w:rsidP="003C4D02">
      <w:pPr>
        <w:jc w:val="center"/>
        <w:rPr>
          <w:b/>
          <w:bCs/>
        </w:rPr>
      </w:pPr>
      <w:r w:rsidRPr="00F77413">
        <w:rPr>
          <w:b/>
        </w:rPr>
        <w:t>Rozhodnutí o poskytnutí dotace</w:t>
      </w:r>
      <w:r w:rsidRPr="00F77413">
        <w:rPr>
          <w:rStyle w:val="Znakapoznpodarou"/>
          <w:rFonts w:ascii="Arial" w:eastAsiaTheme="majorEastAsia" w:hAnsi="Arial"/>
          <w:b/>
        </w:rPr>
        <w:footnoteReference w:id="1"/>
      </w:r>
      <w:r w:rsidRPr="00F77413">
        <w:rPr>
          <w:b/>
          <w:bCs/>
          <w:smallCaps/>
        </w:rPr>
        <w:t xml:space="preserve"> </w:t>
      </w:r>
      <w:r w:rsidRPr="00F77413">
        <w:rPr>
          <w:b/>
        </w:rPr>
        <w:t>č. [</w:t>
      </w:r>
      <w:r w:rsidRPr="00F77413">
        <w:rPr>
          <w:b/>
          <w:highlight w:val="lightGray"/>
        </w:rPr>
        <w:t>…</w:t>
      </w:r>
      <w:r w:rsidRPr="00F77413">
        <w:rPr>
          <w:b/>
        </w:rPr>
        <w:t>]</w:t>
      </w:r>
    </w:p>
    <w:p w:rsidR="003C4D02" w:rsidRPr="00F77413" w:rsidRDefault="003C4D02" w:rsidP="003C4D02">
      <w:pPr>
        <w:jc w:val="center"/>
        <w:rPr>
          <w:b/>
          <w:bCs/>
        </w:rPr>
      </w:pPr>
      <w:r w:rsidRPr="00F77413">
        <w:rPr>
          <w:b/>
          <w:bCs/>
        </w:rPr>
        <w:t>(dále jen „Rozhodnutí“)</w:t>
      </w:r>
    </w:p>
    <w:p w:rsidR="003C4D02" w:rsidRPr="00017811" w:rsidRDefault="003C4D02" w:rsidP="003C4D02">
      <w:pPr>
        <w:jc w:val="center"/>
        <w:rPr>
          <w:rFonts w:cs="Arial"/>
          <w:i/>
          <w:iCs/>
        </w:rPr>
      </w:pPr>
      <w:r w:rsidRPr="00017811">
        <w:rPr>
          <w:rFonts w:cs="Arial"/>
          <w:i/>
          <w:iCs/>
        </w:rPr>
        <w:t>vydané na základě § 14 zákona č. 218/2000 Sb., o rozpočtových pravidlech a o změně některých souvisejících zákonů (rozpočtová pravidla), ve znění pozdějších předpisů</w:t>
      </w:r>
    </w:p>
    <w:p w:rsidR="003C4D02" w:rsidRDefault="003C4D02" w:rsidP="003C4D02">
      <w:pPr>
        <w:jc w:val="center"/>
        <w:rPr>
          <w:rFonts w:cs="Arial"/>
        </w:rPr>
      </w:pPr>
      <w:r w:rsidRPr="00017811">
        <w:rPr>
          <w:rFonts w:cs="Arial"/>
        </w:rPr>
        <w:t>Na základě žádosti o podporu z Operačního programu Zaměstnanost (dále jen „OPZ“) rozhodlo Ministerstvo práce a sociálních věcí (dále jen „poskytovatel“) o poskytnutí dotace na realizaci projektu [</w:t>
      </w:r>
      <w:r w:rsidRPr="00017811">
        <w:rPr>
          <w:rFonts w:cs="Arial"/>
          <w:highlight w:val="lightGray"/>
        </w:rPr>
        <w:t>…</w:t>
      </w:r>
      <w:r w:rsidRPr="00017811">
        <w:rPr>
          <w:rFonts w:cs="Arial"/>
        </w:rPr>
        <w:t>]</w:t>
      </w:r>
      <w:r w:rsidRPr="00017811">
        <w:rPr>
          <w:rStyle w:val="Znakapoznpodarou"/>
          <w:rFonts w:ascii="Arial" w:eastAsiaTheme="majorEastAsia" w:hAnsi="Arial" w:cs="Arial"/>
        </w:rPr>
        <w:footnoteReference w:id="2"/>
      </w:r>
      <w:r w:rsidRPr="00017811">
        <w:rPr>
          <w:rFonts w:cs="Arial"/>
        </w:rPr>
        <w:t xml:space="preserve"> registrační číslo [</w:t>
      </w:r>
      <w:r w:rsidRPr="00017811">
        <w:rPr>
          <w:rFonts w:cs="Arial"/>
          <w:highlight w:val="lightGray"/>
        </w:rPr>
        <w:t>…</w:t>
      </w:r>
      <w:r w:rsidRPr="00017811">
        <w:rPr>
          <w:rFonts w:cs="Arial"/>
        </w:rPr>
        <w:t>], prioritní osa OPZ: [</w:t>
      </w:r>
      <w:proofErr w:type="gramStart"/>
      <w:r w:rsidRPr="00017811">
        <w:rPr>
          <w:rFonts w:cs="Arial"/>
          <w:highlight w:val="lightGray"/>
        </w:rPr>
        <w:t>…</w:t>
      </w:r>
      <w:r w:rsidRPr="00017811">
        <w:rPr>
          <w:rFonts w:cs="Arial"/>
        </w:rPr>
        <w:t>]  (dále</w:t>
      </w:r>
      <w:proofErr w:type="gramEnd"/>
      <w:r w:rsidRPr="00017811">
        <w:rPr>
          <w:rFonts w:cs="Arial"/>
        </w:rPr>
        <w:t xml:space="preserve"> jen „projekt“) takto:</w:t>
      </w:r>
    </w:p>
    <w:p w:rsidR="003C4D02" w:rsidRPr="00017811" w:rsidRDefault="003C4D02" w:rsidP="003C4D02">
      <w:pPr>
        <w:jc w:val="center"/>
        <w:rPr>
          <w:rFonts w:cs="Arial"/>
        </w:rPr>
      </w:pPr>
    </w:p>
    <w:p w:rsidR="003C4D02" w:rsidRPr="00017811" w:rsidRDefault="003C4D02" w:rsidP="003C4D02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>Část I - Obecné vymezení dotace</w:t>
      </w:r>
    </w:p>
    <w:p w:rsidR="003C4D02" w:rsidRPr="00017811" w:rsidRDefault="003C4D02" w:rsidP="003C4D02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Specifikace příjemce dotace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017811">
        <w:rPr>
          <w:rFonts w:ascii="Arial" w:hAnsi="Arial" w:cs="Arial"/>
        </w:rPr>
        <w:t>[</w:t>
      </w:r>
      <w:proofErr w:type="spellStart"/>
      <w:r w:rsidRPr="00017811">
        <w:rPr>
          <w:rFonts w:ascii="Arial" w:hAnsi="Arial" w:cs="Arial"/>
          <w:i/>
          <w:iCs/>
          <w:highlight w:val="lightGray"/>
        </w:rPr>
        <w:t>FO</w:t>
      </w:r>
      <w:proofErr w:type="spellEnd"/>
      <w:r w:rsidRPr="00017811">
        <w:rPr>
          <w:rFonts w:ascii="Arial" w:hAnsi="Arial" w:cs="Arial"/>
          <w:i/>
          <w:iCs/>
          <w:highlight w:val="lightGray"/>
        </w:rPr>
        <w:t xml:space="preserve"> – jméno a příjmení, datum narození, rodné číslo / PO – název</w:t>
      </w:r>
      <w:r w:rsidRPr="00017811">
        <w:rPr>
          <w:rFonts w:ascii="Arial" w:hAnsi="Arial" w:cs="Arial"/>
        </w:rPr>
        <w:t>]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017811">
        <w:rPr>
          <w:rFonts w:ascii="Arial" w:hAnsi="Arial" w:cs="Arial"/>
        </w:rPr>
        <w:t>[</w:t>
      </w:r>
      <w:proofErr w:type="spellStart"/>
      <w:r w:rsidRPr="00017811">
        <w:rPr>
          <w:rFonts w:ascii="Arial" w:hAnsi="Arial" w:cs="Arial"/>
          <w:i/>
          <w:iCs/>
          <w:highlight w:val="lightGray"/>
        </w:rPr>
        <w:t>FO</w:t>
      </w:r>
      <w:proofErr w:type="spellEnd"/>
      <w:r w:rsidRPr="00017811">
        <w:rPr>
          <w:rFonts w:ascii="Arial" w:hAnsi="Arial" w:cs="Arial"/>
          <w:i/>
          <w:iCs/>
          <w:highlight w:val="lightGray"/>
        </w:rPr>
        <w:t xml:space="preserve"> – adresa trvalého pobytu / PO – adresa sídla</w:t>
      </w:r>
      <w:r w:rsidRPr="00017811">
        <w:rPr>
          <w:rFonts w:ascii="Arial" w:hAnsi="Arial" w:cs="Arial"/>
        </w:rPr>
        <w:t>]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017811">
        <w:rPr>
          <w:rFonts w:ascii="Arial" w:hAnsi="Arial" w:cs="Arial"/>
        </w:rPr>
        <w:t>Statutární orgán: [</w:t>
      </w:r>
      <w:r w:rsidRPr="00017811">
        <w:rPr>
          <w:rFonts w:ascii="Arial" w:hAnsi="Arial" w:cs="Arial"/>
          <w:highlight w:val="lightGray"/>
        </w:rPr>
        <w:t>…</w:t>
      </w:r>
      <w:r w:rsidRPr="00017811">
        <w:rPr>
          <w:rFonts w:ascii="Arial" w:hAnsi="Arial" w:cs="Arial"/>
        </w:rPr>
        <w:t xml:space="preserve">] </w:t>
      </w:r>
      <w:r w:rsidRPr="00017811">
        <w:rPr>
          <w:rFonts w:ascii="Arial" w:hAnsi="Arial" w:cs="Arial"/>
          <w:i/>
          <w:iCs/>
        </w:rPr>
        <w:t>(pouze pro PO)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017811">
        <w:rPr>
          <w:rFonts w:ascii="Arial" w:hAnsi="Arial" w:cs="Arial"/>
        </w:rPr>
        <w:t>IČ: [</w:t>
      </w:r>
      <w:r w:rsidRPr="00017811">
        <w:rPr>
          <w:rFonts w:ascii="Arial" w:hAnsi="Arial" w:cs="Arial"/>
          <w:highlight w:val="lightGray"/>
        </w:rPr>
        <w:t>…</w:t>
      </w:r>
      <w:r w:rsidRPr="00017811">
        <w:rPr>
          <w:rFonts w:ascii="Arial" w:hAnsi="Arial" w:cs="Arial"/>
        </w:rPr>
        <w:t xml:space="preserve">] </w:t>
      </w:r>
      <w:r w:rsidRPr="00017811">
        <w:rPr>
          <w:rFonts w:ascii="Arial" w:hAnsi="Arial" w:cs="Arial"/>
          <w:i/>
          <w:iCs/>
        </w:rPr>
        <w:t>(</w:t>
      </w:r>
      <w:proofErr w:type="spellStart"/>
      <w:r w:rsidRPr="00017811">
        <w:rPr>
          <w:rFonts w:ascii="Arial" w:hAnsi="Arial" w:cs="Arial"/>
          <w:i/>
          <w:iCs/>
        </w:rPr>
        <w:t>FO</w:t>
      </w:r>
      <w:proofErr w:type="spellEnd"/>
      <w:r w:rsidRPr="00017811">
        <w:rPr>
          <w:rFonts w:ascii="Arial" w:hAnsi="Arial" w:cs="Arial"/>
          <w:i/>
          <w:iCs/>
        </w:rPr>
        <w:t xml:space="preserve"> pouze je-li podnikatelem)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017811">
        <w:rPr>
          <w:rFonts w:ascii="Arial" w:hAnsi="Arial" w:cs="Arial"/>
        </w:rPr>
        <w:t>Bankovní účet příjemce: [</w:t>
      </w:r>
      <w:r w:rsidRPr="00017811">
        <w:rPr>
          <w:rFonts w:ascii="Arial" w:hAnsi="Arial" w:cs="Arial"/>
          <w:highlight w:val="lightGray"/>
        </w:rPr>
        <w:t>…/…]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>Bankovní účet pro poskytování plateb:</w:t>
      </w:r>
      <w:r w:rsidRPr="00017811">
        <w:rPr>
          <w:rFonts w:ascii="Arial" w:hAnsi="Arial" w:cs="Arial"/>
          <w:vertAlign w:val="superscript"/>
        </w:rPr>
        <w:footnoteReference w:id="3"/>
      </w:r>
      <w:r w:rsidRPr="00017811">
        <w:rPr>
          <w:rFonts w:ascii="Arial" w:hAnsi="Arial" w:cs="Arial"/>
        </w:rPr>
        <w:t xml:space="preserve"> </w:t>
      </w:r>
      <w:r w:rsidRPr="00017811">
        <w:rPr>
          <w:rFonts w:ascii="Arial" w:hAnsi="Arial" w:cs="Arial"/>
          <w:highlight w:val="lightGray"/>
        </w:rPr>
        <w:t>shodný s účtem příjemce / […/…]</w:t>
      </w:r>
    </w:p>
    <w:p w:rsidR="003C4D02" w:rsidRPr="00017811" w:rsidRDefault="003C4D02" w:rsidP="003C4D02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Výše dotace a režim financování</w:t>
      </w:r>
    </w:p>
    <w:p w:rsidR="003C4D02" w:rsidRPr="00017811" w:rsidRDefault="003C4D02" w:rsidP="003C4D02">
      <w:pPr>
        <w:pStyle w:val="slovanseznam"/>
        <w:numPr>
          <w:ilvl w:val="1"/>
          <w:numId w:val="7"/>
        </w:numPr>
        <w:tabs>
          <w:tab w:val="num" w:pos="426"/>
        </w:tabs>
        <w:spacing w:after="22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Dotace je poskytována do maximální výše uvedené v řádku „Dotace“ v následující tabulce: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3C4D02" w:rsidRPr="004141AE" w:rsidTr="006843B3">
        <w:trPr>
          <w:tblHeader/>
        </w:trPr>
        <w:tc>
          <w:tcPr>
            <w:tcW w:w="4680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Částka</w:t>
            </w:r>
          </w:p>
          <w:p w:rsidR="003C4D02" w:rsidRPr="004141AE" w:rsidRDefault="003C4D02" w:rsidP="006843B3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Podíl na celkovém rozpočtu</w:t>
            </w:r>
          </w:p>
          <w:p w:rsidR="003C4D02" w:rsidRPr="004141AE" w:rsidRDefault="003C4D02" w:rsidP="006843B3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(v %)</w:t>
            </w:r>
          </w:p>
        </w:tc>
      </w:tr>
      <w:tr w:rsidR="003C4D02" w:rsidRPr="00017811" w:rsidTr="006843B3">
        <w:tc>
          <w:tcPr>
            <w:tcW w:w="468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[...]</w:t>
            </w:r>
          </w:p>
        </w:tc>
        <w:tc>
          <w:tcPr>
            <w:tcW w:w="2268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-</w:t>
            </w:r>
          </w:p>
        </w:tc>
      </w:tr>
      <w:tr w:rsidR="003C4D02" w:rsidRPr="00017811" w:rsidTr="006843B3">
        <w:tc>
          <w:tcPr>
            <w:tcW w:w="4680" w:type="dxa"/>
            <w:vAlign w:val="center"/>
          </w:tcPr>
          <w:p w:rsidR="003C4D02" w:rsidRPr="00052027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52027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2268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-</w:t>
            </w:r>
          </w:p>
        </w:tc>
      </w:tr>
      <w:tr w:rsidR="003C4D02" w:rsidRPr="00017811" w:rsidTr="006843B3">
        <w:tc>
          <w:tcPr>
            <w:tcW w:w="4680" w:type="dxa"/>
            <w:vAlign w:val="center"/>
          </w:tcPr>
          <w:p w:rsidR="003C4D02" w:rsidRPr="00052027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52027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2268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100 %</w:t>
            </w:r>
          </w:p>
        </w:tc>
      </w:tr>
      <w:tr w:rsidR="003C4D02" w:rsidRPr="004141AE" w:rsidTr="006843B3">
        <w:tc>
          <w:tcPr>
            <w:tcW w:w="4680" w:type="dxa"/>
            <w:vAlign w:val="center"/>
          </w:tcPr>
          <w:p w:rsidR="003C4D02" w:rsidRPr="00052027" w:rsidRDefault="003C4D02" w:rsidP="00C1219D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052027">
              <w:rPr>
                <w:snapToGrid w:val="0"/>
              </w:rPr>
              <w:lastRenderedPageBreak/>
              <w:t>Vlastní financování způsobilých výdajů očištěných o příjmy připadající na způsobilé výdaje</w:t>
            </w:r>
          </w:p>
        </w:tc>
        <w:tc>
          <w:tcPr>
            <w:tcW w:w="2124" w:type="dxa"/>
            <w:vAlign w:val="center"/>
          </w:tcPr>
          <w:p w:rsidR="003C4D02" w:rsidRPr="004141AE" w:rsidRDefault="003C4D02" w:rsidP="00C1219D">
            <w:pPr>
              <w:pStyle w:val="Tabulkatext"/>
              <w:keepNext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3C4D02" w:rsidRPr="004141AE" w:rsidRDefault="003C4D02" w:rsidP="00C1219D">
            <w:pPr>
              <w:pStyle w:val="Tabulkatext"/>
              <w:keepNext/>
              <w:spacing w:before="0" w:after="0"/>
            </w:pPr>
            <w:r w:rsidRPr="004141AE">
              <w:t>[…]</w:t>
            </w:r>
          </w:p>
        </w:tc>
      </w:tr>
      <w:tr w:rsidR="003C4D02" w:rsidRPr="004141AE" w:rsidTr="006843B3">
        <w:tc>
          <w:tcPr>
            <w:tcW w:w="4680" w:type="dxa"/>
            <w:vAlign w:val="center"/>
          </w:tcPr>
          <w:p w:rsidR="003C4D02" w:rsidRPr="004141AE" w:rsidRDefault="003C4D02" w:rsidP="00C86054">
            <w:pPr>
              <w:pStyle w:val="Tabulkatext"/>
              <w:keepNext/>
              <w:spacing w:before="0" w:after="0"/>
            </w:pPr>
            <w:r w:rsidRPr="004141AE">
              <w:t>Dotace</w:t>
            </w:r>
          </w:p>
        </w:tc>
        <w:tc>
          <w:tcPr>
            <w:tcW w:w="2124" w:type="dxa"/>
            <w:vAlign w:val="center"/>
          </w:tcPr>
          <w:p w:rsidR="003C4D02" w:rsidRPr="004141AE" w:rsidRDefault="003C4D02" w:rsidP="00C86054">
            <w:pPr>
              <w:pStyle w:val="Tabulkatext"/>
              <w:keepNext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3C4D02" w:rsidRPr="004141AE" w:rsidRDefault="003C4D02" w:rsidP="00C86054">
            <w:pPr>
              <w:pStyle w:val="Tabulkatext"/>
              <w:keepNext/>
              <w:spacing w:before="0" w:after="0"/>
            </w:pPr>
            <w:r w:rsidRPr="004141AE">
              <w:t>[…]</w:t>
            </w:r>
          </w:p>
        </w:tc>
      </w:tr>
      <w:tr w:rsidR="003C4D02" w:rsidRPr="004141AE" w:rsidTr="006843B3">
        <w:tc>
          <w:tcPr>
            <w:tcW w:w="4680" w:type="dxa"/>
            <w:vAlign w:val="center"/>
          </w:tcPr>
          <w:p w:rsidR="003C4D02" w:rsidRPr="004141AE" w:rsidRDefault="003C4D02" w:rsidP="003C4D02">
            <w:pPr>
              <w:pStyle w:val="Tabulkatext"/>
              <w:numPr>
                <w:ilvl w:val="0"/>
                <w:numId w:val="51"/>
              </w:numPr>
              <w:spacing w:before="0" w:after="0"/>
            </w:pPr>
            <w:r w:rsidRPr="004141AE">
              <w:t xml:space="preserve">z toho z Evropského sociálního fondu, tj. z prostředků poskytnutých ze státního rozpočtu na předfinancování výdajů, které mají být kryty prostředky z  Národního fondu (§ 44 odst. 2 písm. f) rozpočtových pravidel);  </w:t>
            </w:r>
          </w:p>
          <w:p w:rsidR="003C4D02" w:rsidRPr="004141AE" w:rsidRDefault="003C4D02" w:rsidP="003C4D02">
            <w:pPr>
              <w:pStyle w:val="Tabulkatext"/>
              <w:numPr>
                <w:ilvl w:val="0"/>
                <w:numId w:val="51"/>
              </w:numPr>
              <w:spacing w:before="0" w:after="0"/>
            </w:pPr>
            <w:r w:rsidRPr="004141AE">
              <w:t xml:space="preserve">z toho z Iniciativy na podporu zaměstnanosti mladých lidí, tj. z prostředků poskytnutých ze státního rozpočtu na předfinancování výdajů, které mají být kryty prostředky z  Národního fondu (§ 44 odst. 2 písm. f) rozpočtových pravidel);  </w:t>
            </w:r>
          </w:p>
        </w:tc>
        <w:tc>
          <w:tcPr>
            <w:tcW w:w="2124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[…]</w:t>
            </w:r>
          </w:p>
          <w:p w:rsidR="003C4D02" w:rsidRPr="004141AE" w:rsidRDefault="003C4D02" w:rsidP="006843B3">
            <w:pPr>
              <w:pStyle w:val="Tabulkatext"/>
              <w:spacing w:before="0" w:after="0"/>
            </w:pPr>
          </w:p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[…]</w:t>
            </w:r>
          </w:p>
          <w:p w:rsidR="003C4D02" w:rsidRPr="004141AE" w:rsidRDefault="003C4D02" w:rsidP="006843B3">
            <w:pPr>
              <w:pStyle w:val="Tabulkatext"/>
              <w:spacing w:before="0" w:after="0"/>
            </w:pPr>
          </w:p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[…]</w:t>
            </w:r>
          </w:p>
        </w:tc>
      </w:tr>
      <w:tr w:rsidR="003C4D02" w:rsidRPr="004141AE" w:rsidTr="006843B3">
        <w:tc>
          <w:tcPr>
            <w:tcW w:w="4680" w:type="dxa"/>
            <w:vAlign w:val="center"/>
          </w:tcPr>
          <w:p w:rsidR="003C4D02" w:rsidRPr="004141AE" w:rsidRDefault="003C4D02" w:rsidP="003C4D02">
            <w:pPr>
              <w:pStyle w:val="Tabulkatext"/>
              <w:numPr>
                <w:ilvl w:val="0"/>
                <w:numId w:val="52"/>
              </w:numPr>
              <w:spacing w:before="0" w:after="0"/>
            </w:pPr>
            <w:r w:rsidRPr="004141AE">
              <w:t xml:space="preserve">z toho státní rozpočet, tj. prostředky ze státního rozpočtu na část národního spolufinancování (§ 44 odst. 2 písm. j) rozpočtových pravidel).   </w:t>
            </w:r>
          </w:p>
        </w:tc>
        <w:tc>
          <w:tcPr>
            <w:tcW w:w="2124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[…]</w:t>
            </w:r>
          </w:p>
        </w:tc>
      </w:tr>
      <w:tr w:rsidR="003C4D02" w:rsidRPr="004141AE" w:rsidTr="006843B3">
        <w:tc>
          <w:tcPr>
            <w:tcW w:w="4680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Rozdělení investičních a neinvestičních prostředků v rámci maximální částky dotace</w:t>
            </w:r>
            <w:r w:rsidRPr="004141AE">
              <w:rPr>
                <w:rStyle w:val="Znakapoznpodarou"/>
                <w:vertAlign w:val="baseline"/>
              </w:rPr>
              <w:footnoteReference w:id="4"/>
            </w:r>
          </w:p>
        </w:tc>
        <w:tc>
          <w:tcPr>
            <w:tcW w:w="2124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[…]</w:t>
            </w:r>
          </w:p>
        </w:tc>
      </w:tr>
      <w:tr w:rsidR="003C4D02" w:rsidRPr="004141AE" w:rsidTr="006843B3">
        <w:tc>
          <w:tcPr>
            <w:tcW w:w="4680" w:type="dxa"/>
            <w:vAlign w:val="center"/>
          </w:tcPr>
          <w:p w:rsidR="003C4D02" w:rsidRPr="004141AE" w:rsidRDefault="003C4D02" w:rsidP="003C4D02">
            <w:pPr>
              <w:pStyle w:val="Tabulkatext"/>
              <w:numPr>
                <w:ilvl w:val="0"/>
                <w:numId w:val="52"/>
              </w:numPr>
              <w:spacing w:before="0" w:after="0"/>
            </w:pPr>
            <w:r w:rsidRPr="004141AE">
              <w:t>neinvestiční prostředky</w:t>
            </w:r>
          </w:p>
        </w:tc>
        <w:tc>
          <w:tcPr>
            <w:tcW w:w="2124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-</w:t>
            </w:r>
          </w:p>
        </w:tc>
      </w:tr>
      <w:tr w:rsidR="003C4D02" w:rsidRPr="004141AE" w:rsidTr="006843B3">
        <w:tc>
          <w:tcPr>
            <w:tcW w:w="4680" w:type="dxa"/>
            <w:vAlign w:val="center"/>
          </w:tcPr>
          <w:p w:rsidR="003C4D02" w:rsidRPr="004141AE" w:rsidRDefault="003C4D02" w:rsidP="003C4D02">
            <w:pPr>
              <w:pStyle w:val="Tabulkatext"/>
              <w:numPr>
                <w:ilvl w:val="0"/>
                <w:numId w:val="52"/>
              </w:numPr>
              <w:spacing w:before="0" w:after="0"/>
            </w:pPr>
            <w:r w:rsidRPr="004141AE">
              <w:t>investiční prostředky</w:t>
            </w:r>
          </w:p>
        </w:tc>
        <w:tc>
          <w:tcPr>
            <w:tcW w:w="2124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3C4D02" w:rsidRPr="004141AE" w:rsidRDefault="003C4D02" w:rsidP="006843B3">
            <w:pPr>
              <w:pStyle w:val="Tabulkatext"/>
              <w:spacing w:before="0" w:after="0"/>
            </w:pPr>
            <w:r w:rsidRPr="004141AE">
              <w:t>-</w:t>
            </w:r>
          </w:p>
        </w:tc>
      </w:tr>
    </w:tbl>
    <w:p w:rsidR="003C4D02" w:rsidRPr="00017811" w:rsidRDefault="003C4D02" w:rsidP="003C4D02">
      <w:pPr>
        <w:pStyle w:val="slovanseznam"/>
        <w:numPr>
          <w:ilvl w:val="1"/>
          <w:numId w:val="7"/>
        </w:numPr>
        <w:tabs>
          <w:tab w:val="num" w:pos="426"/>
        </w:tabs>
        <w:spacing w:before="120"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Příjemce je povinen respektovat stanovený podíl (v %) zapojení vlastních zdrojů do financování způsobilých výdajů projektu dle výše uvedené tabulky. Vyjádření závazku vlastního financování částkou v Kč je pouze orientační.</w:t>
      </w:r>
    </w:p>
    <w:p w:rsidR="003C4D02" w:rsidRDefault="003C4D02" w:rsidP="003C4D02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Dotace je poskytována na způsobilé výdaje projektu, které nejsou či nebudou kryty z</w:t>
      </w:r>
      <w:r>
        <w:rPr>
          <w:sz w:val="22"/>
          <w:szCs w:val="22"/>
        </w:rPr>
        <w:t> p</w:t>
      </w:r>
      <w:r w:rsidRPr="00052027">
        <w:rPr>
          <w:sz w:val="22"/>
          <w:szCs w:val="22"/>
        </w:rPr>
        <w:t>říjm</w:t>
      </w:r>
      <w:r>
        <w:rPr>
          <w:sz w:val="22"/>
          <w:szCs w:val="22"/>
        </w:rPr>
        <w:t>ů</w:t>
      </w:r>
      <w:r w:rsidRPr="00052027">
        <w:rPr>
          <w:sz w:val="22"/>
          <w:szCs w:val="22"/>
        </w:rPr>
        <w:t xml:space="preserve"> projektu připadající</w:t>
      </w:r>
      <w:r>
        <w:rPr>
          <w:sz w:val="22"/>
          <w:szCs w:val="22"/>
        </w:rPr>
        <w:t>ch</w:t>
      </w:r>
      <w:r w:rsidRPr="00052027">
        <w:rPr>
          <w:sz w:val="22"/>
          <w:szCs w:val="22"/>
        </w:rPr>
        <w:t xml:space="preserve"> na způsobilé výdaje</w:t>
      </w:r>
      <w:r w:rsidRPr="00017811">
        <w:rPr>
          <w:sz w:val="22"/>
          <w:szCs w:val="22"/>
        </w:rPr>
        <w:t xml:space="preserve">, ani z jiných zdrojů příjemce. </w:t>
      </w:r>
    </w:p>
    <w:p w:rsidR="003C4D02" w:rsidRPr="00017811" w:rsidRDefault="003C4D02" w:rsidP="003C4D02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:rsidR="003C4D02" w:rsidRPr="00017811" w:rsidRDefault="003C4D02" w:rsidP="003C4D02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 xml:space="preserve">Skutečná výše dotace, která bude příjemci poskytnuta, bude určena na základě skutečně vzniklých, odůvodněných a řádně prokázaných způsobilých výdajů. Výše dotace bude v souladu s pravidly OPZ a právními předpisy ČR a EU snížena o ty příjmy, které projekt vytvoří v průběhu své realizace, které převýší částku příjmů uvedenou v odst. 2.1 tohoto článku smlouvy a které přesáhnou objem vlastního financování projektu uvedený v odst. 2.1 tohoto článku smlouvy. Příjmy, které nepřesáhnou částku, kterou do financování projektu vkládá příjemce podpory, nesnižují dotaci. </w:t>
      </w:r>
    </w:p>
    <w:p w:rsidR="003C4D02" w:rsidRPr="00017811" w:rsidRDefault="003C4D02" w:rsidP="003C4D02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Dojde-li v průběhu realizace projektu ke snížení způsobilých výdajů prokázaných příjemcem, musí být vždy zachovány procentní podíly pro zapojení vlastního financování způsobilých výdajů a dotace uvedené v odst. 2.1 tohoto článku.</w:t>
      </w:r>
    </w:p>
    <w:p w:rsidR="003C4D02" w:rsidRPr="00017811" w:rsidRDefault="003C4D02" w:rsidP="003C4D02">
      <w:pPr>
        <w:pStyle w:val="slovanseznam"/>
        <w:numPr>
          <w:ilvl w:val="1"/>
          <w:numId w:val="7"/>
        </w:numPr>
        <w:tabs>
          <w:tab w:val="num" w:pos="426"/>
        </w:tabs>
        <w:spacing w:after="24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Režim financování projektu:</w:t>
      </w:r>
      <w:r w:rsidRPr="00017811">
        <w:rPr>
          <w:rStyle w:val="Znakapoznpodarou"/>
          <w:rFonts w:eastAsiaTheme="majorEastAsia"/>
          <w:b/>
          <w:bCs/>
          <w:sz w:val="22"/>
          <w:szCs w:val="22"/>
        </w:rPr>
        <w:footnoteReference w:id="5"/>
      </w:r>
      <w:r w:rsidRPr="00017811">
        <w:rPr>
          <w:sz w:val="22"/>
          <w:szCs w:val="22"/>
        </w:rPr>
        <w:t xml:space="preserve"> ex-ante / ex-post.</w:t>
      </w:r>
    </w:p>
    <w:p w:rsidR="003C4D02" w:rsidRPr="00017811" w:rsidRDefault="003C4D02" w:rsidP="003C4D02">
      <w:pPr>
        <w:pStyle w:val="slovanseznam"/>
        <w:keepNext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bookmarkStart w:id="0" w:name="_Ref211609003"/>
      <w:r w:rsidRPr="00017811">
        <w:rPr>
          <w:b/>
          <w:bCs/>
          <w:sz w:val="22"/>
          <w:szCs w:val="22"/>
        </w:rPr>
        <w:lastRenderedPageBreak/>
        <w:t>Účel dotace</w:t>
      </w:r>
      <w:bookmarkEnd w:id="0"/>
    </w:p>
    <w:p w:rsidR="003C4D02" w:rsidRPr="00017811" w:rsidRDefault="003C4D02" w:rsidP="003C4D02">
      <w:pPr>
        <w:pStyle w:val="slovanseznam"/>
        <w:keepNext/>
        <w:spacing w:after="240"/>
        <w:rPr>
          <w:sz w:val="22"/>
          <w:szCs w:val="22"/>
        </w:rPr>
      </w:pPr>
      <w:r w:rsidRPr="00017811">
        <w:rPr>
          <w:sz w:val="22"/>
          <w:szCs w:val="22"/>
        </w:rPr>
        <w:t>V rámci realizace projektu identifikovaného názvem a registračním číslem v úvodní části tohoto Rozhodnutí je účelem dotace: [</w:t>
      </w:r>
      <w:r w:rsidRPr="00017811">
        <w:rPr>
          <w:sz w:val="22"/>
          <w:szCs w:val="22"/>
          <w:highlight w:val="lightGray"/>
        </w:rPr>
        <w:t>…</w:t>
      </w:r>
      <w:r w:rsidRPr="00017811">
        <w:rPr>
          <w:sz w:val="22"/>
          <w:szCs w:val="22"/>
        </w:rPr>
        <w:t>]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6"/>
      </w:r>
    </w:p>
    <w:p w:rsidR="003C4D02" w:rsidRPr="00017811" w:rsidRDefault="003C4D02" w:rsidP="003C4D02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Lhůta, v níž má být dosaženo účelu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Účelu dotace musí být dosaženo ve lhůtě: </w:t>
      </w:r>
    </w:p>
    <w:p w:rsidR="003C4D02" w:rsidRPr="00017811" w:rsidRDefault="003C4D02" w:rsidP="003C4D02">
      <w:pPr>
        <w:pStyle w:val="Zhlav"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</w:rPr>
      </w:pPr>
      <w:r w:rsidRPr="00017811">
        <w:rPr>
          <w:rFonts w:ascii="Arial" w:hAnsi="Arial" w:cs="Arial"/>
        </w:rPr>
        <w:t>datum zahájení realizace projektu:</w:t>
      </w:r>
      <w:r w:rsidRPr="00017811">
        <w:rPr>
          <w:rFonts w:ascii="Arial" w:hAnsi="Arial" w:cs="Arial"/>
        </w:rPr>
        <w:tab/>
        <w:t>[</w:t>
      </w:r>
      <w:r w:rsidRPr="00017811">
        <w:rPr>
          <w:rFonts w:ascii="Arial" w:hAnsi="Arial" w:cs="Arial"/>
          <w:highlight w:val="lightGray"/>
        </w:rPr>
        <w:t>…</w:t>
      </w:r>
      <w:r w:rsidRPr="00017811">
        <w:rPr>
          <w:rFonts w:ascii="Arial" w:hAnsi="Arial" w:cs="Arial"/>
        </w:rPr>
        <w:t>]</w:t>
      </w:r>
    </w:p>
    <w:p w:rsidR="003C4D02" w:rsidRPr="00017811" w:rsidRDefault="003C4D02" w:rsidP="003C4D02">
      <w:pPr>
        <w:pStyle w:val="Zhlav"/>
        <w:numPr>
          <w:ilvl w:val="0"/>
          <w:numId w:val="18"/>
        </w:numPr>
        <w:tabs>
          <w:tab w:val="left" w:pos="5940"/>
        </w:tabs>
        <w:spacing w:after="220"/>
        <w:ind w:left="714" w:hanging="357"/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datum ukončení realizace projektu nejpozději </w:t>
      </w:r>
      <w:proofErr w:type="gramStart"/>
      <w:r w:rsidRPr="00017811">
        <w:rPr>
          <w:rFonts w:ascii="Arial" w:hAnsi="Arial" w:cs="Arial"/>
        </w:rPr>
        <w:t>do</w:t>
      </w:r>
      <w:proofErr w:type="gramEnd"/>
      <w:r w:rsidRPr="00017811">
        <w:rPr>
          <w:rFonts w:ascii="Arial" w:hAnsi="Arial" w:cs="Arial"/>
        </w:rPr>
        <w:t>:</w:t>
      </w:r>
      <w:r w:rsidRPr="00017811">
        <w:rPr>
          <w:rFonts w:ascii="Arial" w:hAnsi="Arial" w:cs="Arial"/>
        </w:rPr>
        <w:tab/>
        <w:t>[</w:t>
      </w:r>
      <w:r w:rsidRPr="00017811">
        <w:rPr>
          <w:rFonts w:ascii="Arial" w:hAnsi="Arial" w:cs="Arial"/>
          <w:highlight w:val="lightGray"/>
        </w:rPr>
        <w:t>…</w:t>
      </w:r>
      <w:r w:rsidRPr="00017811">
        <w:rPr>
          <w:rFonts w:ascii="Arial" w:hAnsi="Arial" w:cs="Arial"/>
        </w:rPr>
        <w:t>]</w:t>
      </w:r>
    </w:p>
    <w:p w:rsidR="003C4D02" w:rsidRPr="00017811" w:rsidRDefault="003C4D02" w:rsidP="003C4D02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Vzájemná komunikace poskytovatele a příjemce</w:t>
      </w:r>
    </w:p>
    <w:p w:rsidR="003C4D02" w:rsidRPr="00017811" w:rsidRDefault="003C4D02" w:rsidP="003C4D02">
      <w:r w:rsidRPr="00017811">
        <w:t xml:space="preserve">Příjemce a poskytovatel budou v případě doručování písemností, které musí být opatřeny podpisem osoby oprávněné za daný subjekt jednat, přednostně používat informační systém MS2014+. Příjemce je povinen zajistit, aby se seznámil se všemi zprávami, které mu budou od poskytovatele doručeny prostřednictvím MS2014+. Přijetím tohoto Rozhodnutí příjemce vyjadřuje souhlas s přednostním doručováním písemností prostřednictvím MS2014+. </w:t>
      </w:r>
    </w:p>
    <w:p w:rsidR="003C4D02" w:rsidRPr="00017811" w:rsidRDefault="003C4D02" w:rsidP="003C4D02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>Část II – Obecné povinnosti příjemce dotace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Užití dotace 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017811">
        <w:rPr>
          <w:sz w:val="22"/>
          <w:szCs w:val="22"/>
        </w:rPr>
        <w:t>Použití dotace je upraveno nejen tímto Rozhodnutím a právními předpisy ČR a EU, ale rovněž pravidly, která nemají povahu právních předpisů a jsou vydávána poskytovatelem ve formě dokumentů:</w:t>
      </w:r>
    </w:p>
    <w:p w:rsidR="003C4D02" w:rsidRPr="00017811" w:rsidRDefault="003C4D02" w:rsidP="003C4D02">
      <w:pPr>
        <w:pStyle w:val="slovanseznam"/>
        <w:numPr>
          <w:ilvl w:val="0"/>
          <w:numId w:val="19"/>
        </w:numPr>
        <w:tabs>
          <w:tab w:val="num" w:pos="1620"/>
        </w:tabs>
        <w:rPr>
          <w:sz w:val="22"/>
          <w:szCs w:val="22"/>
        </w:rPr>
      </w:pPr>
      <w:r w:rsidRPr="00017811">
        <w:rPr>
          <w:sz w:val="22"/>
          <w:szCs w:val="22"/>
        </w:rPr>
        <w:t xml:space="preserve">Obecná část pravidel pro žadatele a příjemce v rámci OPZ </w:t>
      </w:r>
    </w:p>
    <w:p w:rsidR="003C4D02" w:rsidRPr="00017811" w:rsidRDefault="003C4D02" w:rsidP="003C4D02">
      <w:pPr>
        <w:pStyle w:val="slovanseznam"/>
        <w:numPr>
          <w:ilvl w:val="0"/>
          <w:numId w:val="19"/>
        </w:numPr>
        <w:tabs>
          <w:tab w:val="num" w:pos="1478"/>
        </w:tabs>
        <w:rPr>
          <w:sz w:val="22"/>
          <w:szCs w:val="22"/>
        </w:rPr>
      </w:pPr>
      <w:r w:rsidRPr="00017811">
        <w:rPr>
          <w:sz w:val="22"/>
          <w:szCs w:val="22"/>
        </w:rPr>
        <w:t>[</w:t>
      </w:r>
      <w:r w:rsidRPr="00017811">
        <w:rPr>
          <w:sz w:val="22"/>
          <w:szCs w:val="22"/>
          <w:highlight w:val="lightGray"/>
        </w:rPr>
        <w:t>…</w:t>
      </w:r>
      <w:r w:rsidRPr="00017811">
        <w:rPr>
          <w:sz w:val="22"/>
          <w:szCs w:val="22"/>
        </w:rPr>
        <w:t>]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7"/>
      </w:r>
    </w:p>
    <w:p w:rsidR="003C4D02" w:rsidRPr="00017811" w:rsidRDefault="003C4D02" w:rsidP="003C4D02">
      <w:pPr>
        <w:pStyle w:val="slovanseznam"/>
        <w:spacing w:after="240"/>
        <w:ind w:left="708"/>
        <w:rPr>
          <w:sz w:val="22"/>
          <w:szCs w:val="22"/>
        </w:rPr>
      </w:pPr>
      <w:r w:rsidRPr="00017811">
        <w:rPr>
          <w:sz w:val="22"/>
          <w:szCs w:val="22"/>
        </w:rPr>
        <w:t xml:space="preserve">Dokumenty uvedené v odrážkách jsou uveřejněny na webovém portálu </w:t>
      </w:r>
      <w:hyperlink r:id="rId8" w:history="1">
        <w:r w:rsidRPr="00017811">
          <w:rPr>
            <w:rStyle w:val="Hypertextovodkaz"/>
            <w:sz w:val="22"/>
            <w:szCs w:val="22"/>
          </w:rPr>
          <w:t>www.esfcr.cz</w:t>
        </w:r>
      </w:hyperlink>
      <w:r w:rsidRPr="00017811">
        <w:rPr>
          <w:sz w:val="22"/>
          <w:szCs w:val="22"/>
        </w:rPr>
        <w:t xml:space="preserve"> provozovaném poskytovatelem. Dále v textu tohoto Rozhodnutí je obsah těchto dokumentů označen souhrnně také jako „pravidla OPZ“. Pravidla OPZ jsou pro příjemce závazná. Závaznou verzí dokumentů uvedených v odrážkách je verze platná ke dni uskutečnění úkonu souvisejícího s realizací projektu, v případě zadávání zakázek se aplikuje verze pravidel platná </w:t>
      </w:r>
      <w:r w:rsidRPr="00017811">
        <w:rPr>
          <w:iCs/>
          <w:sz w:val="22"/>
          <w:szCs w:val="22"/>
        </w:rPr>
        <w:t>v den zahájení zadávání zakázky</w:t>
      </w:r>
      <w:r w:rsidRPr="00017811">
        <w:rPr>
          <w:sz w:val="22"/>
          <w:szCs w:val="22"/>
        </w:rPr>
        <w:t>. Změny či doplnění pravidel OPZ relevantních pro příjemce provádí poskytovatel formou revize dokumentů v odrážkách a uvědomí o nich příjemce bez zbytečného odkladu elektronickou formou prostřednictvím informačního systému MS2014+. V případě rozporu obsahu tohoto Rozhodnutí a obsahu dokumentů v odrážkách má přednost obsah tohoto Rozhodnutí.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bookmarkStart w:id="1" w:name="_Ref211608992"/>
      <w:r w:rsidRPr="00017811">
        <w:rPr>
          <w:b/>
          <w:bCs/>
          <w:sz w:val="22"/>
          <w:szCs w:val="22"/>
        </w:rPr>
        <w:t>Splnění účelu a realizace projektu</w:t>
      </w:r>
      <w:bookmarkEnd w:id="1"/>
    </w:p>
    <w:p w:rsidR="003C4D02" w:rsidRPr="00017811" w:rsidRDefault="003C4D02" w:rsidP="003C4D02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splnit účel dotace uvedený v části I. bodě 3 tohoto Rozhodnutí. 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017811">
        <w:rPr>
          <w:sz w:val="22"/>
          <w:szCs w:val="22"/>
        </w:rPr>
        <w:t>Příjemce je povinen při realizaci projektu dodržet údaje a skutečnosti, které jsou uvedeny v Informaci o projektu, která je přílohou č. 1 tohoto Rozhodnutí, ve znění případných změn, ke kterým je příjemce oprávněn dle pravidel OPZ bez souhlasu a poskytovatele, anebo ve znění změn, které poskytovatel dle pravidel OPZ schválil.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bookmarkStart w:id="2" w:name="_Ref261509631"/>
      <w:r w:rsidRPr="00017811">
        <w:rPr>
          <w:b/>
          <w:bCs/>
          <w:sz w:val="22"/>
          <w:szCs w:val="22"/>
        </w:rPr>
        <w:t>Způsobilé výdaje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017811">
        <w:rPr>
          <w:sz w:val="22"/>
          <w:szCs w:val="22"/>
        </w:rPr>
        <w:t>Příjemce dotace je oprávněn použít dotaci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lastRenderedPageBreak/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dotace je povinen zajistit úhradu veškerých výdajů projektu, které nejsou kryty výše uvedenou dotací (např. nezpůsobilé výdaje), aby byl dodržen účel poskytnutí dotace na daný projekt.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Udržitelnost projektu</w:t>
      </w:r>
      <w:bookmarkStart w:id="3" w:name="_Ref241302702"/>
      <w:bookmarkEnd w:id="2"/>
      <w:r w:rsidRPr="00017811">
        <w:rPr>
          <w:b/>
          <w:bCs/>
          <w:sz w:val="22"/>
          <w:szCs w:val="22"/>
        </w:rPr>
        <w:t xml:space="preserve"> 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017811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oblasti (článek 71 odst. 3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</w:t>
      </w:r>
      <w:bookmarkEnd w:id="3"/>
      <w:r w:rsidRPr="00017811">
        <w:rPr>
          <w:rFonts w:ascii="Arial" w:hAnsi="Arial" w:cs="Arial"/>
        </w:rPr>
        <w:t>6).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Vedení účetnictví 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je povinen řádně účtovat o veškerých příjmech a výdajích, resp. výnosech a 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8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bodu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8 rozpočtových pravidel, vedeny s jednoznačnou vazbou na projekt.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je povinen předat ve lhůtě stanovené poskytovatelem poskytovateli na jeho vyžádání účetní záznamy a další doklady vztahující se k projektu převedené do digitální podoby.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Zakázky 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bookmarkStart w:id="4" w:name="_Ref211584199"/>
      <w:r w:rsidRPr="00017811">
        <w:rPr>
          <w:sz w:val="22"/>
          <w:szCs w:val="22"/>
        </w:rPr>
        <w:t>Při zadávání zakázek v rámci realizace projektu je příjemce povinen postupovat v souladu s pravidly OPZ</w:t>
      </w:r>
      <w:bookmarkEnd w:id="4"/>
      <w:r w:rsidRPr="00017811">
        <w:rPr>
          <w:sz w:val="22"/>
          <w:szCs w:val="22"/>
        </w:rPr>
        <w:t>.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 platbu. 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Plnění politik Evropské unie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Při realizaci projektu je příjemce dotace povinen dodržovat politiky Evropské unie, zejména pravidla hospodářské soutěže a veřejné podpory, principy udržitelného rozvoje a prosazování rovných příležitostí. 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bookmarkStart w:id="5" w:name="_Ref211589877"/>
      <w:r w:rsidRPr="00017811">
        <w:rPr>
          <w:b/>
          <w:bCs/>
          <w:sz w:val="22"/>
          <w:szCs w:val="22"/>
        </w:rPr>
        <w:t>Kontrola</w:t>
      </w:r>
      <w:bookmarkEnd w:id="5"/>
      <w:r w:rsidRPr="00017811">
        <w:rPr>
          <w:b/>
          <w:bCs/>
          <w:sz w:val="22"/>
          <w:szCs w:val="22"/>
        </w:rPr>
        <w:t xml:space="preserve"> 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Příjemce dotace je povinen za účelem ověření plnění povinností vyplývajících z tohoto Rozhodnutí vytvořit podmínky k provedení kontroly vztahující se k realizaci projektu, </w:t>
      </w:r>
      <w:r w:rsidRPr="00017811">
        <w:rPr>
          <w:rFonts w:ascii="Arial" w:hAnsi="Arial" w:cs="Arial"/>
        </w:rPr>
        <w:lastRenderedPageBreak/>
        <w:t>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poskytovatel dotace (Řídicí orgán), územní finanční orgány, Ministerstvo financí, Nejvyšší kontrolní úřad, Evropská komise a Evropský účetní dvůr, případně další orgány oprávněné k výkonu kontroly.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Informační a komunikační opatření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dotace je povinen provádět informační a komunikační opatření projektu v souladu s pravidly OPZ.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zajistit nápravu nedostatku týkající se provádění informačních a komunikačních opatření projektu ve lhůtě a způsobem specifikovaným ve výzvě k provedení této nápravy, kterou příjemci adresuje poskytovatel. 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bookmarkStart w:id="6" w:name="_Ref211606165"/>
      <w:r w:rsidRPr="00017811">
        <w:rPr>
          <w:b/>
          <w:bCs/>
          <w:sz w:val="22"/>
          <w:szCs w:val="22"/>
        </w:rPr>
        <w:t>Poskytování údajů o realizaci projektu</w:t>
      </w:r>
      <w:bookmarkEnd w:id="6"/>
      <w:r w:rsidRPr="00017811">
        <w:rPr>
          <w:b/>
          <w:bCs/>
          <w:sz w:val="22"/>
          <w:szCs w:val="22"/>
        </w:rPr>
        <w:t xml:space="preserve"> 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>Příjemce dotace je povinen na základě žádosti poskytovatele 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poskytovatelem.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bookmarkStart w:id="7" w:name="_Ref211606170"/>
      <w:r w:rsidRPr="00017811">
        <w:rPr>
          <w:b/>
          <w:bCs/>
          <w:sz w:val="22"/>
          <w:szCs w:val="22"/>
        </w:rPr>
        <w:t>Oznamovací povinnost</w:t>
      </w:r>
      <w:bookmarkEnd w:id="7"/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bookmarkStart w:id="8" w:name="_Ref260747336"/>
      <w:r w:rsidRPr="00017811">
        <w:rPr>
          <w:sz w:val="22"/>
          <w:szCs w:val="22"/>
        </w:rPr>
        <w:t>Příjemce dotace je povinen poskytovatele neprodleně informovat o změnách svého majetkoprávního postavení, jako je např. přeměna společnosti, vstup do likvidace, úpadek apod.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je dále povinen dodržet pravidla OPZ upravující oznamování změn týkajících se projektu.</w:t>
      </w:r>
    </w:p>
    <w:bookmarkEnd w:id="8"/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Zákaz čerpání jiných podpor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Příjemce není oprávněn čerpat na výdaje projektu, na které je poskytována dotace, jiné finanční prostředky z rozpočtových kapitol státního rozpočtu ČR, státních fondů, z rozpočtů obcí, měst a krajů, strukturálních fondů nebo jiných prostředků EU, než jsou prostředky uvedené v čl. I odst. 2.1 tohoto Rozhodnutí. V případě, že do projektu jsou zařazeny jen výdaje na pořízení či zajištění části určitého celku, pravidlo z předchozí věty se vztahuje jen na tu část výdajů, na kterou je poskytována dotace. 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bookmarkStart w:id="9" w:name="_Ref211606175"/>
      <w:r w:rsidRPr="00017811">
        <w:rPr>
          <w:b/>
          <w:bCs/>
          <w:sz w:val="22"/>
          <w:szCs w:val="22"/>
        </w:rPr>
        <w:t>Vypořádání projektu</w:t>
      </w:r>
      <w:bookmarkEnd w:id="9"/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>Příjemce dotace je povinen dotaci finančně vypořádat v souladu s rozpočtovými pravidly a vyhláškou č. 52/2008 Sb., kterou se stanoví zásady a termíny finančního vypořádání se státním rozpočtem, státními finančními aktivy nebo Národním fondem</w:t>
      </w:r>
      <w:r w:rsidRPr="00017811">
        <w:rPr>
          <w:rFonts w:ascii="Arial" w:hAnsi="Arial" w:cs="Arial"/>
          <w:vertAlign w:val="superscript"/>
        </w:rPr>
        <w:footnoteReference w:id="8"/>
      </w:r>
      <w:r w:rsidRPr="00017811">
        <w:rPr>
          <w:rFonts w:ascii="Arial" w:hAnsi="Arial" w:cs="Arial"/>
        </w:rPr>
        <w:t>.</w:t>
      </w:r>
    </w:p>
    <w:p w:rsidR="003C4D02" w:rsidRPr="00017811" w:rsidRDefault="003C4D02" w:rsidP="00C86054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bookmarkStart w:id="10" w:name="_Ref211606682"/>
      <w:r w:rsidRPr="00017811">
        <w:rPr>
          <w:b/>
          <w:bCs/>
          <w:sz w:val="22"/>
          <w:szCs w:val="22"/>
        </w:rPr>
        <w:t>Uchovávání dokumentů</w:t>
      </w:r>
      <w:bookmarkEnd w:id="10"/>
    </w:p>
    <w:p w:rsidR="003C4D02" w:rsidRPr="00017811" w:rsidRDefault="003C4D02" w:rsidP="00C8605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>Příjemce dotace je povinen uchovat veškeré dokumenty související s realizací projektu v souladu s platnými právními předpisy ČR, zejména v souladu s § 44a odst. 9 rozpočtových pravidel</w:t>
      </w:r>
      <w:r w:rsidRPr="00017811">
        <w:rPr>
          <w:rFonts w:ascii="Arial" w:hAnsi="Arial" w:cs="Arial"/>
          <w:vertAlign w:val="superscript"/>
        </w:rPr>
        <w:footnoteReference w:id="9"/>
      </w:r>
      <w:r w:rsidRPr="00017811">
        <w:rPr>
          <w:rFonts w:ascii="Arial" w:hAnsi="Arial" w:cs="Arial"/>
        </w:rPr>
        <w:t xml:space="preserve"> a pravidly OPZ.</w:t>
      </w:r>
    </w:p>
    <w:p w:rsidR="003C4D02" w:rsidRPr="00017811" w:rsidRDefault="003C4D02" w:rsidP="00C86054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bookmarkStart w:id="12" w:name="_Ref261511254"/>
      <w:r w:rsidRPr="00017811">
        <w:rPr>
          <w:b/>
          <w:bCs/>
          <w:sz w:val="22"/>
          <w:szCs w:val="22"/>
        </w:rPr>
        <w:lastRenderedPageBreak/>
        <w:t>Péče o majetek</w:t>
      </w:r>
      <w:bookmarkEnd w:id="12"/>
      <w:r w:rsidRPr="00017811">
        <w:rPr>
          <w:b/>
          <w:bCs/>
          <w:sz w:val="22"/>
          <w:szCs w:val="22"/>
        </w:rPr>
        <w:t xml:space="preserve"> </w:t>
      </w:r>
    </w:p>
    <w:p w:rsidR="003C4D02" w:rsidRPr="00017811" w:rsidRDefault="003C4D02" w:rsidP="003C4D02">
      <w:pPr>
        <w:pStyle w:val="slovanseznam"/>
        <w:spacing w:after="240"/>
        <w:rPr>
          <w:iCs/>
          <w:sz w:val="22"/>
          <w:szCs w:val="22"/>
        </w:rPr>
      </w:pPr>
      <w:r w:rsidRPr="00017811">
        <w:rPr>
          <w:iCs/>
          <w:sz w:val="22"/>
          <w:szCs w:val="22"/>
        </w:rPr>
        <w:t>Příjemce dotace je povinen po dobu realizace projektu zacházet s majetkem spolufinancovaným z dotace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017811">
        <w:rPr>
          <w:sz w:val="22"/>
          <w:szCs w:val="22"/>
        </w:rPr>
        <w:t>.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Práva duševního vlastnictví</w:t>
      </w:r>
    </w:p>
    <w:p w:rsidR="003C4D02" w:rsidRPr="00017811" w:rsidRDefault="003C4D02" w:rsidP="003C4D02">
      <w:pPr>
        <w:pStyle w:val="slovanseznam"/>
        <w:spacing w:after="240"/>
        <w:rPr>
          <w:b/>
          <w:sz w:val="22"/>
          <w:szCs w:val="22"/>
        </w:rPr>
      </w:pPr>
      <w:r w:rsidRPr="00017811">
        <w:rPr>
          <w:iCs/>
          <w:sz w:val="22"/>
          <w:szCs w:val="22"/>
        </w:rPr>
        <w:t xml:space="preserve">Příjemce dotace je povinen poskytovateli poskytnout neomezenou bezplatnou licenci k užití práv duševního vlastnictví včetně možnosti zcela nebo zčásti poskytnout třetí osobě oprávnění tvořící součást licence, jestliže byly při vzniku práv duševního vlastnictví použity prostředky této dotace, a to bez zbytečného odkladu po vzniku takových práv. Pokud je držitelem takových práv duševního vlastnictví vzniklých na základě zakázky jiná osoba než příjemce dotace, je příjemce dotace povinen ve smlouvě uzavřené s dodavatelem zajistit pro poskytovatele neomezenou bezplatnou licenci k užití těchto práv včetně možnosti zcela nebo zčásti poskytnout třetí osobě oprávnění tvořící součást licence. </w:t>
      </w:r>
    </w:p>
    <w:p w:rsidR="003C4D02" w:rsidRPr="00017811" w:rsidRDefault="003C4D02" w:rsidP="003C4D02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bookmarkStart w:id="13" w:name="_Ref211610419"/>
      <w:r w:rsidRPr="00017811">
        <w:rPr>
          <w:b/>
          <w:bCs/>
          <w:sz w:val="22"/>
          <w:szCs w:val="22"/>
        </w:rPr>
        <w:t>Partnerství</w:t>
      </w:r>
      <w:r w:rsidRPr="00017811">
        <w:rPr>
          <w:bCs/>
          <w:sz w:val="22"/>
          <w:szCs w:val="22"/>
          <w:vertAlign w:val="superscript"/>
        </w:rPr>
        <w:footnoteReference w:id="10"/>
      </w:r>
      <w:bookmarkEnd w:id="13"/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bookmarkStart w:id="14" w:name="_Ref211606322"/>
      <w:r w:rsidRPr="00017811">
        <w:rPr>
          <w:sz w:val="22"/>
          <w:szCs w:val="22"/>
        </w:rPr>
        <w:t xml:space="preserve">Příjemce dotace je povinen zajistit, aby vztahy mezi příjemcem a jeho partnery, jejichž seznam je součástí Informace o projektu v příloze č. 1 tohoto Rozhodnutí, po celou dobu realizace projektu odpovídaly </w:t>
      </w:r>
      <w:bookmarkStart w:id="15" w:name="_Ref211606326"/>
      <w:bookmarkEnd w:id="14"/>
      <w:r w:rsidRPr="00017811">
        <w:rPr>
          <w:sz w:val="22"/>
          <w:szCs w:val="22"/>
        </w:rPr>
        <w:t>pravidlům OPZ.</w:t>
      </w:r>
    </w:p>
    <w:bookmarkEnd w:id="15"/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dotace odpovídá za splnění všech povinností. Pokud některý z partnerů poruší některou z povinností, odpovídá příjemce dotace podle části IV tohoto Rozhodnutí, jakoby tuto povinnost porušil sám.</w:t>
      </w:r>
    </w:p>
    <w:p w:rsidR="003C4D02" w:rsidRPr="00017811" w:rsidRDefault="003C4D02" w:rsidP="003C4D02">
      <w:pPr>
        <w:pStyle w:val="slovanseznam"/>
        <w:numPr>
          <w:ilvl w:val="1"/>
          <w:numId w:val="24"/>
        </w:numPr>
        <w:tabs>
          <w:tab w:val="num" w:pos="720"/>
        </w:tabs>
        <w:spacing w:after="220"/>
      </w:pPr>
      <w:r w:rsidRPr="00017811">
        <w:rPr>
          <w:sz w:val="22"/>
          <w:szCs w:val="22"/>
        </w:rPr>
        <w:t xml:space="preserve">Příjemce dotace není oprávněn se svými partnery uzavírat v rámci tohoto projektu smluvní vztahy, jejichž předmětem je poskytování služeb, zboží nebo stavebních prací za úplatu. </w:t>
      </w:r>
    </w:p>
    <w:p w:rsidR="003C4D02" w:rsidRPr="00017811" w:rsidRDefault="003C4D02" w:rsidP="003C4D02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 xml:space="preserve">Část III – Specifické povinnosti příjemce dotace týkající se realizace projektu </w:t>
      </w:r>
    </w:p>
    <w:p w:rsidR="003C4D02" w:rsidRPr="00017811" w:rsidRDefault="003C4D02" w:rsidP="003C4D02">
      <w:pPr>
        <w:pStyle w:val="slovanseznam"/>
        <w:numPr>
          <w:ilvl w:val="0"/>
          <w:numId w:val="25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Vazba na výzvu k předkládání žádostí o podporu</w:t>
      </w:r>
    </w:p>
    <w:p w:rsidR="003C4D02" w:rsidRDefault="003C4D02" w:rsidP="003C4D02">
      <w:pPr>
        <w:pStyle w:val="slovanseznam"/>
        <w:tabs>
          <w:tab w:val="num" w:pos="720"/>
        </w:tabs>
        <w:spacing w:after="60"/>
        <w:rPr>
          <w:sz w:val="22"/>
          <w:szCs w:val="22"/>
        </w:rPr>
      </w:pPr>
      <w:r w:rsidRPr="00017811">
        <w:rPr>
          <w:sz w:val="22"/>
          <w:szCs w:val="22"/>
        </w:rPr>
        <w:t>Příjemce je povinen během realizace projektu respektovat tyto podmínky, jež vycházejí z výzvy k předkládání žádostí o podporu, na základě které byl projekt vybrán k poskytnutí dotace:</w:t>
      </w:r>
    </w:p>
    <w:p w:rsidR="003C4D02" w:rsidRPr="00017811" w:rsidRDefault="003C4D02" w:rsidP="003C4D02">
      <w:pPr>
        <w:pStyle w:val="slovanseznam"/>
        <w:tabs>
          <w:tab w:val="num" w:pos="720"/>
        </w:tabs>
        <w:spacing w:after="60"/>
        <w:rPr>
          <w:sz w:val="22"/>
          <w:szCs w:val="22"/>
        </w:rPr>
      </w:pPr>
    </w:p>
    <w:p w:rsidR="003C4D02" w:rsidRPr="00017811" w:rsidRDefault="003C4D02" w:rsidP="003C4D02">
      <w:pPr>
        <w:pStyle w:val="slovanseznam"/>
        <w:numPr>
          <w:ilvl w:val="0"/>
          <w:numId w:val="20"/>
        </w:numPr>
        <w:spacing w:after="60"/>
        <w:rPr>
          <w:sz w:val="22"/>
          <w:szCs w:val="22"/>
        </w:rPr>
      </w:pPr>
      <w:r w:rsidRPr="00017811">
        <w:rPr>
          <w:sz w:val="22"/>
          <w:szCs w:val="22"/>
        </w:rPr>
        <w:t xml:space="preserve">Cílovými skupina projektu </w:t>
      </w:r>
      <w:proofErr w:type="gramStart"/>
      <w:r w:rsidRPr="00017811">
        <w:rPr>
          <w:sz w:val="22"/>
          <w:szCs w:val="22"/>
        </w:rPr>
        <w:t>mohou</w:t>
      </w:r>
      <w:proofErr w:type="gramEnd"/>
      <w:r w:rsidRPr="00017811">
        <w:rPr>
          <w:sz w:val="22"/>
          <w:szCs w:val="22"/>
        </w:rPr>
        <w:t xml:space="preserve"> být pouze:</w:t>
      </w:r>
    </w:p>
    <w:p w:rsidR="003C4D02" w:rsidRPr="00017811" w:rsidRDefault="003C4D02" w:rsidP="003C4D02">
      <w:pPr>
        <w:pStyle w:val="slovanseznam"/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  <w:highlight w:val="lightGray"/>
        </w:rPr>
        <w:t>…</w:t>
      </w:r>
    </w:p>
    <w:p w:rsidR="003C4D02" w:rsidRPr="00017811" w:rsidRDefault="003C4D02" w:rsidP="003C4D02">
      <w:pPr>
        <w:pStyle w:val="slovanseznam"/>
        <w:numPr>
          <w:ilvl w:val="0"/>
          <w:numId w:val="20"/>
        </w:numPr>
        <w:spacing w:after="60"/>
        <w:rPr>
          <w:sz w:val="22"/>
          <w:szCs w:val="22"/>
        </w:rPr>
      </w:pPr>
      <w:r w:rsidRPr="00017811">
        <w:rPr>
          <w:sz w:val="22"/>
          <w:szCs w:val="22"/>
        </w:rPr>
        <w:t>Aktivity projektu musí spadat do vymezení:</w:t>
      </w:r>
    </w:p>
    <w:p w:rsidR="003C4D02" w:rsidRPr="00017811" w:rsidRDefault="003C4D02" w:rsidP="003C4D02">
      <w:pPr>
        <w:pStyle w:val="slovanseznam"/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  <w:highlight w:val="lightGray"/>
        </w:rPr>
        <w:t>…</w:t>
      </w:r>
    </w:p>
    <w:p w:rsidR="003C4D02" w:rsidRPr="00017811" w:rsidRDefault="003C4D02" w:rsidP="003C4D02">
      <w:pPr>
        <w:pStyle w:val="slovanseznam"/>
        <w:numPr>
          <w:ilvl w:val="0"/>
          <w:numId w:val="20"/>
        </w:numPr>
        <w:spacing w:after="60"/>
        <w:rPr>
          <w:sz w:val="22"/>
          <w:szCs w:val="22"/>
        </w:rPr>
      </w:pPr>
      <w:r w:rsidRPr="00017811">
        <w:rPr>
          <w:sz w:val="22"/>
          <w:szCs w:val="22"/>
        </w:rPr>
        <w:t>Územní vymezení:</w:t>
      </w:r>
    </w:p>
    <w:p w:rsidR="003C4D02" w:rsidRPr="00017811" w:rsidRDefault="003C4D02" w:rsidP="003C4D02">
      <w:pPr>
        <w:pStyle w:val="slovanseznam"/>
        <w:spacing w:after="220"/>
        <w:ind w:left="567"/>
        <w:rPr>
          <w:sz w:val="22"/>
          <w:szCs w:val="22"/>
        </w:rPr>
      </w:pPr>
      <w:r w:rsidRPr="00017811">
        <w:rPr>
          <w:sz w:val="22"/>
          <w:szCs w:val="22"/>
          <w:highlight w:val="lightGray"/>
        </w:rPr>
        <w:t>…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11"/>
      </w:r>
    </w:p>
    <w:p w:rsidR="003C4D02" w:rsidRPr="00017811" w:rsidRDefault="003C4D02" w:rsidP="00C1219D">
      <w:pPr>
        <w:pStyle w:val="slovanseznam"/>
        <w:keepNext/>
        <w:numPr>
          <w:ilvl w:val="0"/>
          <w:numId w:val="25"/>
        </w:numPr>
        <w:spacing w:after="2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lastRenderedPageBreak/>
        <w:t xml:space="preserve">Podmínky monitorování projektu </w:t>
      </w:r>
    </w:p>
    <w:p w:rsidR="003C4D02" w:rsidRPr="00017811" w:rsidRDefault="003C4D02" w:rsidP="00C1219D">
      <w:pPr>
        <w:pStyle w:val="slovanseznam"/>
        <w:keepNext/>
        <w:numPr>
          <w:ilvl w:val="1"/>
          <w:numId w:val="25"/>
        </w:numPr>
        <w:tabs>
          <w:tab w:val="num" w:pos="-4253"/>
        </w:tabs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Příjemce dotace je povinen naplnit celkové cílové hodnoty monitorovacích indikátorů uvedených v Informaci o projektu v příloze č. 1 tohoto Rozhodnutí; definice monitorovacích indikátorů je obsažena v pravidlech OPZ.</w:t>
      </w:r>
    </w:p>
    <w:p w:rsidR="003C4D02" w:rsidRPr="00017811" w:rsidRDefault="003C4D02" w:rsidP="00C1219D">
      <w:pPr>
        <w:pStyle w:val="slovanseznam"/>
        <w:keepNext/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Celkovou cílovou hodnotu monitorovacích indikátorů výstupů, resp. výsledků příjemce naplní, pokud celková míra naplnění monitorovacích indikátorů výstupů, resp. výsledků dosáhne 100 %.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Pro zjištění celkové míry naplnění monitorovacích indikátorů výstupů se sečtou procenta naplnění cílových hodnot uvedených v Informaci o projektu v příloze č. 1 tohoto Rozhodnutí u jednotlivých indikátorů výstupů a vydělí se počtem těchto indikátorů. Pokud nebyla vyčerpána celková maximální výše dotace, snižují se cílové hodnoty v Informaci o projektu v příloze č. 1 tohoto Rozhodnutí tak, že se vynásobí podílem skutečně vyčerpané částky dotace k celkové maximální výši dotace. Překročení cílové hodnoty jednotlivých monitorovacích indikátorů výstupů bude zohledněno maximálně v míře 120 %. Při zjištění celkové míry naplnění monitorovacích indikátorů výsledků se postupuje obdobně.</w:t>
      </w:r>
    </w:p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16" w:name="_Ref211606144"/>
      <w:r w:rsidRPr="00017811">
        <w:rPr>
          <w:sz w:val="22"/>
          <w:szCs w:val="22"/>
        </w:rPr>
        <w:t>Příjemce dotace je povinen předávat poskytovateli dotace údaje nezbytné k průběžnému sledování přínosů projektu (monitorování projektu) a to prostřednictvím zpráv o realizaci projektu. Průběžnou zprávu o realizaci projektu je příjemce povinen předložit do konce prvního měsíce následujícího po ukončení monitorovacího období, závěrečnou zprávu o realizaci projektu do konce druhého měsíce následujícího po ukončení monitorovacího období. (V případě, že monitorovací období nekončí poslední den kalendářního měsíce, pak platí lhůta 30 dní, resp. 60 dní v případě závěrečné zprávy o realizaci).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12"/>
      </w:r>
    </w:p>
    <w:p w:rsidR="003C4D02" w:rsidRPr="00017811" w:rsidRDefault="003C4D02" w:rsidP="003C4D02">
      <w:pPr>
        <w:pStyle w:val="slovanseznam"/>
        <w:tabs>
          <w:tab w:val="num" w:pos="1478"/>
        </w:tabs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Vymezení monitorovacích období projektu, za které je příjemce povinen předložit zprávu o realizaci projektu:</w:t>
      </w:r>
    </w:p>
    <w:p w:rsidR="003C4D02" w:rsidRPr="00017811" w:rsidRDefault="003C4D02" w:rsidP="003C4D02">
      <w:pPr>
        <w:pStyle w:val="slovanseznam"/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  <w:highlight w:val="lightGray"/>
        </w:rPr>
        <w:t>…</w:t>
      </w:r>
    </w:p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předkládat zprávy o realizaci projektu </w:t>
      </w:r>
      <w:bookmarkEnd w:id="16"/>
      <w:r w:rsidRPr="00017811">
        <w:rPr>
          <w:sz w:val="22"/>
          <w:szCs w:val="22"/>
        </w:rPr>
        <w:t xml:space="preserve">ve formátu, který poskytovatel pro projekt nastaví v informačním systému MS2014+. </w:t>
      </w:r>
    </w:p>
    <w:p w:rsidR="003C4D02" w:rsidRPr="00E902F5" w:rsidRDefault="003C4D02" w:rsidP="003C4D02">
      <w:pPr>
        <w:pStyle w:val="slovanseznam"/>
        <w:widowControl w:val="0"/>
        <w:numPr>
          <w:ilvl w:val="1"/>
          <w:numId w:val="25"/>
        </w:numPr>
        <w:tabs>
          <w:tab w:val="num" w:pos="567"/>
          <w:tab w:val="num" w:pos="720"/>
        </w:tabs>
        <w:spacing w:before="40" w:after="220"/>
        <w:ind w:left="567" w:hanging="567"/>
        <w:rPr>
          <w:snapToGrid w:val="0"/>
          <w:sz w:val="20"/>
        </w:rPr>
      </w:pPr>
      <w:r w:rsidRPr="00E902F5">
        <w:rPr>
          <w:sz w:val="22"/>
          <w:szCs w:val="22"/>
        </w:rPr>
        <w:t>Nápravy nedostatků žádostí o změnu projektu, zpráv o realizaci projektu (včetně spolu s nimi předložených žádostí o platbu) a případně další dokumentace vyžádané poskytovatelem je příjemce povinen předkládat v termínech stanovených poskytovatelem.</w:t>
      </w:r>
    </w:p>
    <w:p w:rsidR="003C4D02" w:rsidRPr="00017811" w:rsidRDefault="003C4D02" w:rsidP="003C4D02">
      <w:pPr>
        <w:pStyle w:val="slovanseznam"/>
        <w:numPr>
          <w:ilvl w:val="0"/>
          <w:numId w:val="25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Veřejná podpora a podpora de minimis</w:t>
      </w:r>
    </w:p>
    <w:p w:rsidR="003C4D02" w:rsidRPr="00E902F5" w:rsidRDefault="003C4D02" w:rsidP="003C4D02">
      <w:pPr>
        <w:rPr>
          <w:b/>
        </w:rPr>
      </w:pPr>
      <w:r w:rsidRPr="00E902F5">
        <w:rPr>
          <w:b/>
        </w:rPr>
        <w:t>Varianty</w:t>
      </w:r>
    </w:p>
    <w:p w:rsidR="003C4D02" w:rsidRPr="00017811" w:rsidRDefault="003C4D02" w:rsidP="003C4D02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t>Možnost A</w:t>
      </w:r>
    </w:p>
    <w:p w:rsidR="003C4D02" w:rsidRPr="00017811" w:rsidRDefault="003C4D02" w:rsidP="003C4D02">
      <w:pPr>
        <w:spacing w:before="40" w:after="40"/>
        <w:ind w:right="181"/>
        <w:rPr>
          <w:rFonts w:ascii="Arial" w:hAnsi="Arial" w:cs="Arial"/>
          <w:i/>
        </w:rPr>
      </w:pPr>
      <w:r w:rsidRPr="00017811">
        <w:rPr>
          <w:rFonts w:ascii="Arial" w:hAnsi="Arial" w:cs="Arial"/>
          <w:i/>
        </w:rPr>
        <w:t xml:space="preserve">(platí pro projekty, které </w:t>
      </w:r>
      <w:bookmarkStart w:id="17" w:name="_Toc244406967"/>
      <w:r w:rsidRPr="00017811">
        <w:rPr>
          <w:rFonts w:ascii="Arial" w:hAnsi="Arial" w:cs="Arial"/>
          <w:i/>
        </w:rPr>
        <w:t>nezakládají veřejnou podporu žádnému subjektu</w:t>
      </w:r>
      <w:bookmarkEnd w:id="17"/>
      <w:r w:rsidRPr="00017811">
        <w:rPr>
          <w:rFonts w:ascii="Arial" w:hAnsi="Arial" w:cs="Arial"/>
          <w:i/>
        </w:rPr>
        <w:t>)</w:t>
      </w:r>
    </w:p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Dotace poskytnutá na realizaci projektu nezakládá veřejnou podporu. </w:t>
      </w:r>
    </w:p>
    <w:p w:rsidR="003C4D02" w:rsidRPr="00017811" w:rsidRDefault="003C4D02" w:rsidP="003C4D02">
      <w:pPr>
        <w:spacing w:before="40" w:after="40"/>
        <w:ind w:right="181"/>
        <w:rPr>
          <w:rFonts w:ascii="Arial" w:hAnsi="Arial" w:cs="Arial"/>
        </w:rPr>
      </w:pPr>
      <w:r w:rsidRPr="00017811">
        <w:rPr>
          <w:rFonts w:ascii="Arial" w:hAnsi="Arial" w:cs="Arial"/>
        </w:rPr>
        <w:t>---------------------------</w:t>
      </w:r>
    </w:p>
    <w:p w:rsidR="003C4D02" w:rsidRPr="00017811" w:rsidRDefault="003C4D02" w:rsidP="00C86054">
      <w:pPr>
        <w:pStyle w:val="Titulek"/>
        <w:keepNext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lastRenderedPageBreak/>
        <w:t>Možnost B</w:t>
      </w:r>
    </w:p>
    <w:p w:rsidR="003C4D02" w:rsidRPr="00017811" w:rsidRDefault="003C4D02" w:rsidP="00C86054">
      <w:pPr>
        <w:keepNext/>
        <w:spacing w:before="40" w:after="40"/>
        <w:ind w:right="181"/>
        <w:rPr>
          <w:rFonts w:ascii="Arial" w:hAnsi="Arial" w:cs="Arial"/>
          <w:i/>
        </w:rPr>
      </w:pPr>
      <w:r w:rsidRPr="00017811">
        <w:rPr>
          <w:rFonts w:ascii="Arial" w:hAnsi="Arial" w:cs="Arial"/>
          <w:i/>
        </w:rPr>
        <w:t xml:space="preserve">(platí pro projekty, které </w:t>
      </w:r>
      <w:bookmarkStart w:id="18" w:name="_Toc244406968"/>
      <w:r w:rsidRPr="00017811">
        <w:rPr>
          <w:rFonts w:ascii="Arial" w:hAnsi="Arial" w:cs="Arial"/>
          <w:i/>
        </w:rPr>
        <w:t>zakládají příjemci podporu de minimis)</w:t>
      </w:r>
      <w:bookmarkEnd w:id="18"/>
    </w:p>
    <w:p w:rsidR="003C4D02" w:rsidRPr="00017811" w:rsidRDefault="003C4D02" w:rsidP="00C86054">
      <w:pPr>
        <w:pStyle w:val="slovanseznam"/>
        <w:keepNext/>
        <w:numPr>
          <w:ilvl w:val="1"/>
          <w:numId w:val="25"/>
        </w:numPr>
        <w:tabs>
          <w:tab w:val="num" w:pos="567"/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810"/>
        <w:gridCol w:w="2682"/>
      </w:tblGrid>
      <w:tr w:rsidR="003C4D02" w:rsidRPr="00017811" w:rsidTr="006843B3">
        <w:tc>
          <w:tcPr>
            <w:tcW w:w="3960" w:type="dxa"/>
            <w:vMerge w:val="restart"/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C4D02" w:rsidRPr="00E902F5" w:rsidRDefault="003C4D02" w:rsidP="00C86054">
            <w:pPr>
              <w:pStyle w:val="Tabulkatext"/>
              <w:keepNext/>
              <w:rPr>
                <w:b/>
                <w:snapToGrid w:val="0"/>
              </w:rPr>
            </w:pPr>
            <w:r w:rsidRPr="00E902F5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682" w:type="dxa"/>
            <w:vAlign w:val="center"/>
          </w:tcPr>
          <w:p w:rsidR="003C4D02" w:rsidRPr="00E902F5" w:rsidRDefault="003C4D02" w:rsidP="00C86054">
            <w:pPr>
              <w:pStyle w:val="Tabulkatext"/>
              <w:keepNext/>
              <w:rPr>
                <w:b/>
                <w:snapToGrid w:val="0"/>
              </w:rPr>
            </w:pPr>
            <w:r w:rsidRPr="00E902F5">
              <w:rPr>
                <w:b/>
                <w:snapToGrid w:val="0"/>
              </w:rPr>
              <w:t>Část projektu nezakládající veřejnou podporu</w:t>
            </w:r>
          </w:p>
        </w:tc>
      </w:tr>
      <w:tr w:rsidR="003C4D02" w:rsidRPr="00017811" w:rsidTr="006843B3">
        <w:tc>
          <w:tcPr>
            <w:tcW w:w="3960" w:type="dxa"/>
            <w:vMerge/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v Kč</w:t>
            </w:r>
          </w:p>
        </w:tc>
        <w:tc>
          <w:tcPr>
            <w:tcW w:w="810" w:type="dxa"/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%</w:t>
            </w:r>
          </w:p>
        </w:tc>
        <w:tc>
          <w:tcPr>
            <w:tcW w:w="2682" w:type="dxa"/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v Kč</w:t>
            </w:r>
          </w:p>
        </w:tc>
      </w:tr>
      <w:tr w:rsidR="003C4D02" w:rsidRPr="00017811" w:rsidTr="006843B3"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</w:rPr>
            </w:pPr>
            <w:r w:rsidRPr="00017811">
              <w:rPr>
                <w:snapToGrid w:val="0"/>
              </w:rPr>
              <w:t>Částka rozhodná pro míru veřejné podpory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C86054">
            <w:pPr>
              <w:pStyle w:val="Tabulkatext"/>
              <w:keepNext/>
            </w:pPr>
            <w:r w:rsidRPr="00017811">
              <w:t>[…]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</w:rPr>
            </w:pPr>
            <w:r w:rsidRPr="00017811">
              <w:t>[…]</w:t>
            </w:r>
          </w:p>
        </w:tc>
      </w:tr>
      <w:tr w:rsidR="003C4D02" w:rsidRPr="00017811" w:rsidTr="006843B3">
        <w:tc>
          <w:tcPr>
            <w:tcW w:w="3960" w:type="dxa"/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</w:rPr>
            </w:pPr>
            <w:r w:rsidRPr="00017811">
              <w:rPr>
                <w:snapToGrid w:val="0"/>
              </w:rPr>
              <w:t>Podpora poskytovaná v rámci dotace</w:t>
            </w:r>
          </w:p>
        </w:tc>
        <w:tc>
          <w:tcPr>
            <w:tcW w:w="1620" w:type="dxa"/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810" w:type="dxa"/>
            <w:vAlign w:val="center"/>
          </w:tcPr>
          <w:p w:rsidR="003C4D02" w:rsidRPr="00017811" w:rsidRDefault="003C4D02" w:rsidP="00C86054">
            <w:pPr>
              <w:pStyle w:val="Tabulkatext"/>
              <w:keepNext/>
            </w:pPr>
            <w:r w:rsidRPr="00017811">
              <w:t>[…]</w:t>
            </w:r>
          </w:p>
        </w:tc>
        <w:tc>
          <w:tcPr>
            <w:tcW w:w="2682" w:type="dxa"/>
            <w:vAlign w:val="center"/>
          </w:tcPr>
          <w:p w:rsidR="003C4D02" w:rsidRPr="00017811" w:rsidRDefault="003C4D02" w:rsidP="00C86054">
            <w:pPr>
              <w:pStyle w:val="Tabulkatext"/>
              <w:keepNext/>
              <w:rPr>
                <w:snapToGrid w:val="0"/>
              </w:rPr>
            </w:pPr>
            <w:r w:rsidRPr="00017811">
              <w:t>[…]</w:t>
            </w:r>
          </w:p>
        </w:tc>
      </w:tr>
    </w:tbl>
    <w:p w:rsidR="003C4D02" w:rsidRDefault="003C4D02" w:rsidP="003C4D02">
      <w:pPr>
        <w:pStyle w:val="slovanseznam"/>
        <w:spacing w:before="60" w:after="60"/>
        <w:ind w:left="567"/>
        <w:rPr>
          <w:sz w:val="22"/>
          <w:szCs w:val="22"/>
        </w:rPr>
      </w:pPr>
    </w:p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before="60"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1407/2013 ze dne 18. prosince 2013 o použití článků 107 a 108 Smlouvy o fungování Evropské unie na podporu de minimis,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proofErr w:type="gramStart"/>
      <w:r w:rsidRPr="00017811">
        <w:rPr>
          <w:sz w:val="22"/>
          <w:szCs w:val="22"/>
        </w:rPr>
        <w:t>věst</w:t>
      </w:r>
      <w:proofErr w:type="spellEnd"/>
      <w:proofErr w:type="gramEnd"/>
      <w:r w:rsidRPr="00017811">
        <w:rPr>
          <w:sz w:val="22"/>
          <w:szCs w:val="22"/>
        </w:rPr>
        <w:t xml:space="preserve">. L 352, 18. 12. 2013, s. 1—8. 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nebo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1408/2013 ze dne 18. prosince 2013 o použití článků 107 a 108 Smlouvy o fungování Evropské unie na podporu de minimis v odvětví zemědělství,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proofErr w:type="gramStart"/>
      <w:r w:rsidRPr="00017811">
        <w:rPr>
          <w:sz w:val="22"/>
          <w:szCs w:val="22"/>
        </w:rPr>
        <w:t>věst</w:t>
      </w:r>
      <w:proofErr w:type="spellEnd"/>
      <w:proofErr w:type="gramEnd"/>
      <w:r w:rsidRPr="00017811">
        <w:rPr>
          <w:sz w:val="22"/>
          <w:szCs w:val="22"/>
        </w:rPr>
        <w:t xml:space="preserve">. L 352, 24. 12. 2013, s. 9—17. 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nebo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717/2014 ze dne 27. června 2014 o použití článků 107 a 108 Smlouvy o fungování Evropské unie na podporu de minimis v odvětví rybolovu a akvakultury,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proofErr w:type="gramStart"/>
      <w:r w:rsidRPr="00017811">
        <w:rPr>
          <w:sz w:val="22"/>
          <w:szCs w:val="22"/>
        </w:rPr>
        <w:t>věst</w:t>
      </w:r>
      <w:proofErr w:type="spellEnd"/>
      <w:proofErr w:type="gramEnd"/>
      <w:r w:rsidRPr="00017811">
        <w:rPr>
          <w:sz w:val="22"/>
          <w:szCs w:val="22"/>
        </w:rPr>
        <w:t>. L 190, 28. 6. 2014, s. 45—54.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nebo</w:t>
      </w:r>
    </w:p>
    <w:p w:rsidR="003C4D02" w:rsidRDefault="003C4D02" w:rsidP="003C4D02">
      <w:pPr>
        <w:pStyle w:val="slovanseznam"/>
        <w:tabs>
          <w:tab w:val="num" w:pos="567"/>
        </w:tabs>
        <w:spacing w:after="22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 360/2012 ze dne 25. dubna 2012 o použití článků 107 a 108 Smlouvy o fungování Evropské unie na podporu de minimis udílenou podnikům poskytujícím služby obecného hospodářského zájmu,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proofErr w:type="gramStart"/>
      <w:r w:rsidRPr="00017811">
        <w:rPr>
          <w:sz w:val="22"/>
          <w:szCs w:val="22"/>
        </w:rPr>
        <w:t>věst</w:t>
      </w:r>
      <w:proofErr w:type="spellEnd"/>
      <w:proofErr w:type="gramEnd"/>
      <w:r w:rsidRPr="00017811">
        <w:rPr>
          <w:sz w:val="22"/>
          <w:szCs w:val="22"/>
        </w:rPr>
        <w:t>. L 114, 26. 4. 2012, s. 8</w:t>
      </w:r>
      <w:r w:rsidR="00C1219D">
        <w:rPr>
          <w:sz w:val="22"/>
          <w:szCs w:val="22"/>
        </w:rPr>
        <w:t>―</w:t>
      </w:r>
      <w:r w:rsidRPr="00017811">
        <w:rPr>
          <w:sz w:val="22"/>
          <w:szCs w:val="22"/>
        </w:rPr>
        <w:t>13.</w:t>
      </w:r>
    </w:p>
    <w:p w:rsidR="003C4D02" w:rsidRPr="00017811" w:rsidRDefault="003C4D02" w:rsidP="003C4D02">
      <w:pPr>
        <w:pStyle w:val="slovanseznam"/>
        <w:tabs>
          <w:tab w:val="num" w:pos="0"/>
        </w:tabs>
        <w:spacing w:before="40" w:after="40"/>
        <w:rPr>
          <w:sz w:val="22"/>
          <w:szCs w:val="22"/>
        </w:rPr>
      </w:pPr>
      <w:r w:rsidRPr="00017811">
        <w:t>---------------------------</w:t>
      </w:r>
    </w:p>
    <w:p w:rsidR="003C4D02" w:rsidRPr="00017811" w:rsidRDefault="003C4D02" w:rsidP="003C4D02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t>Možnost C</w:t>
      </w:r>
    </w:p>
    <w:p w:rsidR="003C4D02" w:rsidRPr="00017811" w:rsidRDefault="003C4D02" w:rsidP="003C4D02">
      <w:pPr>
        <w:spacing w:before="40" w:after="40"/>
        <w:ind w:right="181"/>
        <w:rPr>
          <w:rFonts w:ascii="Arial" w:hAnsi="Arial" w:cs="Arial"/>
          <w:i/>
        </w:rPr>
      </w:pPr>
      <w:r w:rsidRPr="00017811">
        <w:rPr>
          <w:rFonts w:ascii="Arial" w:hAnsi="Arial" w:cs="Arial"/>
          <w:i/>
        </w:rPr>
        <w:t>(platí pro projekty, které zakládají příjemci veřejnou podporu podle blokové výjimky)</w:t>
      </w:r>
    </w:p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after="22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810"/>
        <w:gridCol w:w="2682"/>
      </w:tblGrid>
      <w:tr w:rsidR="003C4D02" w:rsidRPr="00017811" w:rsidTr="006843B3">
        <w:tc>
          <w:tcPr>
            <w:tcW w:w="3960" w:type="dxa"/>
            <w:vMerge w:val="restart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C4D02" w:rsidRPr="003141A0" w:rsidRDefault="003C4D02" w:rsidP="006843B3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3141A0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682" w:type="dxa"/>
            <w:vAlign w:val="center"/>
          </w:tcPr>
          <w:p w:rsidR="003C4D02" w:rsidRPr="003141A0" w:rsidRDefault="003C4D02" w:rsidP="006843B3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3141A0">
              <w:rPr>
                <w:b/>
                <w:snapToGrid w:val="0"/>
              </w:rPr>
              <w:t>Část projektu nezakládající veřejnou podporu</w:t>
            </w:r>
          </w:p>
        </w:tc>
      </w:tr>
      <w:tr w:rsidR="003C4D02" w:rsidRPr="00017811" w:rsidTr="006843B3">
        <w:tc>
          <w:tcPr>
            <w:tcW w:w="3960" w:type="dxa"/>
            <w:vMerge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62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v Kč</w:t>
            </w:r>
          </w:p>
        </w:tc>
        <w:tc>
          <w:tcPr>
            <w:tcW w:w="81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%</w:t>
            </w:r>
          </w:p>
        </w:tc>
        <w:tc>
          <w:tcPr>
            <w:tcW w:w="2682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v Kč</w:t>
            </w:r>
          </w:p>
        </w:tc>
      </w:tr>
      <w:tr w:rsidR="003C4D02" w:rsidRPr="00017811" w:rsidTr="006843B3"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Částka rozhodná pro míru veřejné podpory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  <w:tr w:rsidR="003C4D02" w:rsidRPr="00017811" w:rsidTr="006843B3">
        <w:tc>
          <w:tcPr>
            <w:tcW w:w="396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Vlastní financování z důvodu veřejné podpory</w:t>
            </w:r>
          </w:p>
        </w:tc>
        <w:tc>
          <w:tcPr>
            <w:tcW w:w="162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81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2682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  <w:tr w:rsidR="003C4D02" w:rsidRPr="00017811" w:rsidTr="006843B3">
        <w:tc>
          <w:tcPr>
            <w:tcW w:w="396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Podpora poskytovaná v rámci dotace</w:t>
            </w:r>
          </w:p>
        </w:tc>
        <w:tc>
          <w:tcPr>
            <w:tcW w:w="162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81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2682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</w:tbl>
    <w:p w:rsidR="003C4D02" w:rsidRDefault="003C4D02" w:rsidP="003C4D02"/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before="60"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v režimu tzv. blokové výjimky vymezené 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článku 31 (Podpora na vzdělávání) 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lastRenderedPageBreak/>
        <w:t>v článku 18 (</w:t>
      </w:r>
      <w:bookmarkStart w:id="19" w:name="_Toc336525335"/>
      <w:bookmarkStart w:id="20" w:name="_Toc225495926"/>
      <w:bookmarkStart w:id="21" w:name="_Ref213057770"/>
      <w:bookmarkStart w:id="22" w:name="_Toc177541938"/>
      <w:bookmarkStart w:id="23" w:name="_Toc176598365"/>
      <w:bookmarkStart w:id="24" w:name="_Toc402801377"/>
      <w:r w:rsidRPr="00017811">
        <w:rPr>
          <w:sz w:val="22"/>
          <w:szCs w:val="22"/>
        </w:rPr>
        <w:t xml:space="preserve">Podpora na poradenské služby ve prospěch </w:t>
      </w:r>
      <w:bookmarkEnd w:id="19"/>
      <w:bookmarkEnd w:id="20"/>
      <w:bookmarkEnd w:id="21"/>
      <w:bookmarkEnd w:id="22"/>
      <w:bookmarkEnd w:id="23"/>
      <w:r w:rsidRPr="00017811">
        <w:rPr>
          <w:sz w:val="22"/>
          <w:szCs w:val="22"/>
        </w:rPr>
        <w:t>malých a středních podniků</w:t>
      </w:r>
      <w:bookmarkEnd w:id="24"/>
      <w:r w:rsidRPr="00017811">
        <w:rPr>
          <w:sz w:val="22"/>
          <w:szCs w:val="22"/>
        </w:rPr>
        <w:t>)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32 (Podpora na nábor znevýhodněných pracovníků v podobě subvencování mzdových nákladů)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33 (Podpora na zaměstnávání pracovníků se zdravotním postižením v podobě subvencování mzdových nákladů)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34 (Podpora na úhradu dodatečných nákladů na zaměstnávání pracovníků se zdravotním postižením)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35 (Podpora na úhradu nákladů na asistenci poskytovanou znevýhodněným pracovníkům)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13"/>
      </w:r>
    </w:p>
    <w:p w:rsidR="003C4D02" w:rsidRPr="00017811" w:rsidRDefault="003C4D02" w:rsidP="003C4D02">
      <w:pPr>
        <w:pStyle w:val="slovanseznam"/>
        <w:tabs>
          <w:tab w:val="num" w:pos="567"/>
        </w:tabs>
        <w:spacing w:after="22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nařízení Komise (EU) č. 651/2014 ze dne 17. června 2014, kterým se v souladu s články 107 a 108 Smlouvy prohlašují určité kategorie podpory za slučitelné s vnitřním trhem,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proofErr w:type="gramStart"/>
      <w:r w:rsidRPr="00017811">
        <w:rPr>
          <w:sz w:val="22"/>
          <w:szCs w:val="22"/>
        </w:rPr>
        <w:t>věst</w:t>
      </w:r>
      <w:proofErr w:type="spellEnd"/>
      <w:proofErr w:type="gramEnd"/>
      <w:r w:rsidRPr="00017811">
        <w:rPr>
          <w:sz w:val="22"/>
          <w:szCs w:val="22"/>
        </w:rPr>
        <w:t xml:space="preserve">. L 187, 26. 6. 2014, s. 1—78. (Opatření podpory, v rámci něhož je podpora poskytována, se v návaznosti na výše uvedené nařízení rozumí OPZ, jehož plné znění je k dispozici na webovém portálu </w:t>
      </w:r>
      <w:hyperlink r:id="rId9" w:history="1">
        <w:r w:rsidRPr="00017811">
          <w:rPr>
            <w:rStyle w:val="Hypertextovodkaz"/>
            <w:sz w:val="22"/>
            <w:szCs w:val="22"/>
          </w:rPr>
          <w:t>www.esfcr.cz</w:t>
        </w:r>
      </w:hyperlink>
      <w:r w:rsidRPr="00017811">
        <w:rPr>
          <w:sz w:val="22"/>
          <w:szCs w:val="22"/>
        </w:rPr>
        <w:t>.)</w:t>
      </w:r>
    </w:p>
    <w:p w:rsidR="003C4D02" w:rsidRPr="00017811" w:rsidRDefault="003C4D02" w:rsidP="003C4D02">
      <w:pPr>
        <w:spacing w:before="40" w:after="40"/>
        <w:ind w:right="181"/>
        <w:rPr>
          <w:rFonts w:ascii="Arial" w:hAnsi="Arial" w:cs="Arial"/>
        </w:rPr>
      </w:pPr>
      <w:r w:rsidRPr="00017811">
        <w:rPr>
          <w:rFonts w:ascii="Arial" w:hAnsi="Arial" w:cs="Arial"/>
        </w:rPr>
        <w:t>---------------------------</w:t>
      </w:r>
    </w:p>
    <w:p w:rsidR="003C4D02" w:rsidRPr="00017811" w:rsidRDefault="003C4D02" w:rsidP="003C4D02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t>Možnost D</w:t>
      </w:r>
    </w:p>
    <w:p w:rsidR="003C4D02" w:rsidRPr="00017811" w:rsidRDefault="003C4D02" w:rsidP="003C4D02">
      <w:pPr>
        <w:spacing w:before="40" w:after="40"/>
        <w:ind w:right="181"/>
        <w:rPr>
          <w:i/>
        </w:rPr>
      </w:pPr>
      <w:r w:rsidRPr="00017811">
        <w:rPr>
          <w:rFonts w:ascii="Arial" w:hAnsi="Arial" w:cs="Arial"/>
          <w:i/>
        </w:rPr>
        <w:t xml:space="preserve"> (platí pro projekty, které zakládají příjemci a </w:t>
      </w:r>
      <w:proofErr w:type="gramStart"/>
      <w:r w:rsidRPr="00017811">
        <w:rPr>
          <w:rFonts w:ascii="Arial" w:hAnsi="Arial" w:cs="Arial"/>
          <w:i/>
        </w:rPr>
        <w:t>partnerovi(</w:t>
      </w:r>
      <w:proofErr w:type="spellStart"/>
      <w:r w:rsidRPr="00017811">
        <w:rPr>
          <w:rFonts w:ascii="Arial" w:hAnsi="Arial" w:cs="Arial"/>
          <w:i/>
        </w:rPr>
        <w:t>ům</w:t>
      </w:r>
      <w:proofErr w:type="spellEnd"/>
      <w:proofErr w:type="gramEnd"/>
      <w:r w:rsidRPr="00017811">
        <w:rPr>
          <w:rFonts w:ascii="Arial" w:hAnsi="Arial" w:cs="Arial"/>
          <w:i/>
        </w:rPr>
        <w:t>) veřejnou podporu)</w:t>
      </w:r>
    </w:p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after="22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900"/>
        <w:gridCol w:w="1710"/>
        <w:gridCol w:w="1962"/>
      </w:tblGrid>
      <w:tr w:rsidR="003C4D02" w:rsidRPr="00017811" w:rsidTr="006843B3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02" w:rsidRPr="003141A0" w:rsidRDefault="003C4D02" w:rsidP="006843B3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3141A0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02" w:rsidRPr="003141A0" w:rsidRDefault="003C4D02" w:rsidP="006843B3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3141A0">
              <w:rPr>
                <w:b/>
                <w:snapToGrid w:val="0"/>
              </w:rPr>
              <w:t>Část projektu zakládající veřejnou podporu partnerovi/</w:t>
            </w:r>
            <w:proofErr w:type="spellStart"/>
            <w:r w:rsidRPr="003141A0">
              <w:rPr>
                <w:b/>
                <w:snapToGrid w:val="0"/>
              </w:rPr>
              <w:t>ům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02" w:rsidRPr="003141A0" w:rsidRDefault="003C4D02" w:rsidP="006843B3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3141A0">
              <w:rPr>
                <w:b/>
                <w:snapToGrid w:val="0"/>
              </w:rPr>
              <w:t>Část projektu nezakládající veřejnou podporu</w:t>
            </w:r>
          </w:p>
        </w:tc>
      </w:tr>
      <w:tr w:rsidR="003C4D02" w:rsidRPr="00017811" w:rsidTr="006843B3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v Kč</w:t>
            </w:r>
          </w:p>
        </w:tc>
        <w:tc>
          <w:tcPr>
            <w:tcW w:w="90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v Kč</w:t>
            </w:r>
          </w:p>
        </w:tc>
        <w:tc>
          <w:tcPr>
            <w:tcW w:w="1962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v Kč</w:t>
            </w:r>
          </w:p>
        </w:tc>
      </w:tr>
      <w:tr w:rsidR="003C4D02" w:rsidRPr="00017811" w:rsidTr="006843B3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Částka rozhodná pro míru veřejné podpory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  <w:tr w:rsidR="003C4D02" w:rsidRPr="00017811" w:rsidTr="006843B3">
        <w:tc>
          <w:tcPr>
            <w:tcW w:w="288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Vlastní financování z důvodu veřejné podpory</w:t>
            </w:r>
          </w:p>
        </w:tc>
        <w:tc>
          <w:tcPr>
            <w:tcW w:w="162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90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171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1962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  <w:tr w:rsidR="003C4D02" w:rsidRPr="00017811" w:rsidTr="006843B3">
        <w:tc>
          <w:tcPr>
            <w:tcW w:w="288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Podpora poskytovaná v rámci dotace</w:t>
            </w:r>
          </w:p>
        </w:tc>
        <w:tc>
          <w:tcPr>
            <w:tcW w:w="162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90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1710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1962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</w:tbl>
    <w:p w:rsidR="003C4D02" w:rsidRDefault="003C4D02" w:rsidP="003C4D02">
      <w:pPr>
        <w:spacing w:before="40" w:after="40"/>
        <w:ind w:right="181"/>
        <w:rPr>
          <w:rFonts w:ascii="Arial" w:hAnsi="Arial" w:cs="Arial"/>
        </w:rPr>
      </w:pPr>
    </w:p>
    <w:p w:rsidR="003C4D02" w:rsidRPr="00017811" w:rsidRDefault="003C4D02" w:rsidP="003C4D02">
      <w:pPr>
        <w:spacing w:before="40" w:after="40"/>
        <w:ind w:right="181"/>
        <w:rPr>
          <w:rFonts w:ascii="Arial" w:hAnsi="Arial" w:cs="Arial"/>
        </w:rPr>
      </w:pPr>
      <w:r w:rsidRPr="00017811">
        <w:rPr>
          <w:rFonts w:ascii="Arial" w:hAnsi="Arial" w:cs="Arial"/>
        </w:rPr>
        <w:t>---------------------------</w:t>
      </w:r>
    </w:p>
    <w:p w:rsidR="003C4D02" w:rsidRPr="00017811" w:rsidRDefault="003C4D02" w:rsidP="003C4D02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t xml:space="preserve">možnost D – </w:t>
      </w:r>
      <w:proofErr w:type="spellStart"/>
      <w:r w:rsidRPr="00017811">
        <w:rPr>
          <w:rFonts w:ascii="Arial" w:hAnsi="Arial" w:cs="Arial"/>
          <w:i/>
          <w:sz w:val="22"/>
          <w:szCs w:val="22"/>
        </w:rPr>
        <w:t>subvarianta</w:t>
      </w:r>
      <w:proofErr w:type="spellEnd"/>
      <w:r w:rsidRPr="00017811">
        <w:rPr>
          <w:rFonts w:ascii="Arial" w:hAnsi="Arial" w:cs="Arial"/>
          <w:i/>
          <w:sz w:val="22"/>
          <w:szCs w:val="22"/>
        </w:rPr>
        <w:t xml:space="preserve"> I</w:t>
      </w:r>
    </w:p>
    <w:p w:rsidR="003C4D02" w:rsidRPr="00017811" w:rsidRDefault="003C4D02" w:rsidP="003C4D02">
      <w:pPr>
        <w:spacing w:before="40" w:after="40"/>
        <w:ind w:right="181"/>
        <w:rPr>
          <w:rFonts w:ascii="Arial" w:hAnsi="Arial" w:cs="Arial"/>
          <w:i/>
        </w:rPr>
      </w:pPr>
      <w:r w:rsidRPr="00017811">
        <w:rPr>
          <w:rFonts w:ascii="Arial" w:hAnsi="Arial" w:cs="Arial"/>
          <w:i/>
        </w:rPr>
        <w:t>(platí pro projekty, které zakládají příjemci a partnerovi (</w:t>
      </w:r>
      <w:proofErr w:type="spellStart"/>
      <w:r w:rsidRPr="00017811">
        <w:rPr>
          <w:rFonts w:ascii="Arial" w:hAnsi="Arial" w:cs="Arial"/>
          <w:i/>
        </w:rPr>
        <w:t>ům</w:t>
      </w:r>
      <w:proofErr w:type="spellEnd"/>
      <w:r w:rsidRPr="00017811">
        <w:rPr>
          <w:rFonts w:ascii="Arial" w:hAnsi="Arial" w:cs="Arial"/>
          <w:i/>
        </w:rPr>
        <w:t>) podporu de minimis)</w:t>
      </w:r>
    </w:p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before="60"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1407/2013 ze dne 18. prosince 2013 o použití článků 107 a 108 Smlouvy o fungování Evropské unie na podporu de minimis,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proofErr w:type="gramStart"/>
      <w:r w:rsidRPr="00017811">
        <w:rPr>
          <w:sz w:val="22"/>
          <w:szCs w:val="22"/>
        </w:rPr>
        <w:t>věst</w:t>
      </w:r>
      <w:proofErr w:type="spellEnd"/>
      <w:proofErr w:type="gramEnd"/>
      <w:r w:rsidRPr="00017811">
        <w:rPr>
          <w:sz w:val="22"/>
          <w:szCs w:val="22"/>
        </w:rPr>
        <w:t xml:space="preserve">. L 352, 18. 12. 2013, s. 1—8. 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nebo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1408/2013 ze dne 18. prosince 2013 o použití článků 107 a 108 Smlouvy o fungování Evropské unie na podporu de minimis v odvětví zemědělství,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proofErr w:type="gramStart"/>
      <w:r w:rsidRPr="00017811">
        <w:rPr>
          <w:sz w:val="22"/>
          <w:szCs w:val="22"/>
        </w:rPr>
        <w:t>věst</w:t>
      </w:r>
      <w:proofErr w:type="spellEnd"/>
      <w:proofErr w:type="gramEnd"/>
      <w:r w:rsidRPr="00017811">
        <w:rPr>
          <w:sz w:val="22"/>
          <w:szCs w:val="22"/>
        </w:rPr>
        <w:t xml:space="preserve">. L 352, 24. 12. 2013, s. 9—17. 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nebo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717/2014 ze dne 27. června 2014 o použití článků 107 a 108 Smlouvy o fungování Evropské unie na podporu de minimis v odvětví rybolovu a akvakultury,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proofErr w:type="gramStart"/>
      <w:r w:rsidRPr="00017811">
        <w:rPr>
          <w:sz w:val="22"/>
          <w:szCs w:val="22"/>
        </w:rPr>
        <w:t>věst</w:t>
      </w:r>
      <w:proofErr w:type="spellEnd"/>
      <w:proofErr w:type="gramEnd"/>
      <w:r w:rsidRPr="00017811">
        <w:rPr>
          <w:sz w:val="22"/>
          <w:szCs w:val="22"/>
        </w:rPr>
        <w:t>. L 190, 28. 6. 2014, s. 45—54.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lastRenderedPageBreak/>
        <w:t>nebo</w:t>
      </w:r>
    </w:p>
    <w:p w:rsidR="003C4D02" w:rsidRPr="00017811" w:rsidRDefault="003C4D02" w:rsidP="003C4D02">
      <w:pPr>
        <w:pStyle w:val="slovanseznam"/>
        <w:tabs>
          <w:tab w:val="num" w:pos="567"/>
        </w:tabs>
        <w:spacing w:after="22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 360/2012 ze dne 25. dubna 2012 o použití článků 107 a 108 Smlouvy o fungování Evropské unie na podporu de minimis udílenou podnikům poskytujícím služby obecného hospodářského zájmu,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proofErr w:type="gramStart"/>
      <w:r w:rsidRPr="00017811">
        <w:rPr>
          <w:sz w:val="22"/>
          <w:szCs w:val="22"/>
        </w:rPr>
        <w:t>věst</w:t>
      </w:r>
      <w:proofErr w:type="spellEnd"/>
      <w:proofErr w:type="gramEnd"/>
      <w:r w:rsidRPr="00017811">
        <w:rPr>
          <w:sz w:val="22"/>
          <w:szCs w:val="22"/>
        </w:rPr>
        <w:t>. L 114, 26. 4. 2012, s. 8—13.</w:t>
      </w:r>
    </w:p>
    <w:p w:rsidR="003C4D02" w:rsidRPr="00017811" w:rsidRDefault="003C4D02" w:rsidP="003C4D02">
      <w:pPr>
        <w:spacing w:before="40" w:after="40"/>
        <w:ind w:right="181"/>
        <w:rPr>
          <w:rFonts w:ascii="Arial" w:hAnsi="Arial" w:cs="Arial"/>
        </w:rPr>
      </w:pPr>
      <w:r w:rsidRPr="00017811">
        <w:rPr>
          <w:rFonts w:ascii="Arial" w:hAnsi="Arial" w:cs="Arial"/>
        </w:rPr>
        <w:t>---------------------------</w:t>
      </w:r>
    </w:p>
    <w:p w:rsidR="003C4D02" w:rsidRPr="00017811" w:rsidRDefault="003C4D02" w:rsidP="003C4D02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t xml:space="preserve">možnost D – </w:t>
      </w:r>
      <w:proofErr w:type="spellStart"/>
      <w:r w:rsidRPr="00017811">
        <w:rPr>
          <w:rFonts w:ascii="Arial" w:hAnsi="Arial" w:cs="Arial"/>
          <w:i/>
          <w:sz w:val="22"/>
          <w:szCs w:val="22"/>
        </w:rPr>
        <w:t>subvarianta</w:t>
      </w:r>
      <w:proofErr w:type="spellEnd"/>
      <w:r w:rsidRPr="00017811">
        <w:rPr>
          <w:rFonts w:ascii="Arial" w:hAnsi="Arial" w:cs="Arial"/>
          <w:i/>
          <w:sz w:val="22"/>
          <w:szCs w:val="22"/>
        </w:rPr>
        <w:t xml:space="preserve"> II</w:t>
      </w:r>
    </w:p>
    <w:p w:rsidR="003C4D02" w:rsidRPr="00017811" w:rsidRDefault="003C4D02" w:rsidP="003C4D02">
      <w:pPr>
        <w:spacing w:before="40" w:after="40"/>
        <w:ind w:right="181"/>
        <w:rPr>
          <w:rFonts w:ascii="Arial" w:hAnsi="Arial" w:cs="Arial"/>
          <w:i/>
        </w:rPr>
      </w:pPr>
      <w:r w:rsidRPr="00017811">
        <w:rPr>
          <w:rFonts w:ascii="Arial" w:hAnsi="Arial" w:cs="Arial"/>
          <w:i/>
        </w:rPr>
        <w:t xml:space="preserve"> (platí pro projekty, které zakládají příjemci a partnerovi (</w:t>
      </w:r>
      <w:proofErr w:type="spellStart"/>
      <w:r w:rsidRPr="00017811">
        <w:rPr>
          <w:rFonts w:ascii="Arial" w:hAnsi="Arial" w:cs="Arial"/>
          <w:i/>
        </w:rPr>
        <w:t>ům</w:t>
      </w:r>
      <w:proofErr w:type="spellEnd"/>
      <w:r w:rsidRPr="00017811">
        <w:rPr>
          <w:rFonts w:ascii="Arial" w:hAnsi="Arial" w:cs="Arial"/>
          <w:i/>
        </w:rPr>
        <w:t>) veřejnou podporu podle blokové výjimky)</w:t>
      </w:r>
    </w:p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before="60"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v režimu tzv. blokové výjimky vymezené 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článku 31 (Podpora na vzdělávání) 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18 (Podpora na poradenské služby ve prospěch malých a středních podniků)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32 (Podpora na nábor znevýhodněných pracovníků v podobě subvencování mzdových nákladů)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33 (Podpora na zaměstnávání pracovníků se zdravotním postižením v podobě subvencování mzdových nákladů)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34 (Podpora na úhradu dodatečných nákladů na zaměstnávání pracovníků se zdravotním postižením)</w:t>
      </w:r>
    </w:p>
    <w:p w:rsidR="003C4D02" w:rsidRPr="00017811" w:rsidRDefault="003C4D02" w:rsidP="003C4D02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35 (Podpora na úhradu nákladů na asistenci poskytovanou znevýhodněným pracovníkům)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14"/>
      </w:r>
    </w:p>
    <w:p w:rsidR="003C4D02" w:rsidRPr="00017811" w:rsidRDefault="003C4D02" w:rsidP="003C4D02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nařízení Komise (EU) č. 651/2014 ze dne 17. června 2014, kterým se v souladu s články 107 a 108 Smlouvy prohlašují určité kategorie podpory za slučitelné s vnitřním trhem,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proofErr w:type="gramStart"/>
      <w:r w:rsidRPr="00017811">
        <w:rPr>
          <w:sz w:val="22"/>
          <w:szCs w:val="22"/>
        </w:rPr>
        <w:t>věst</w:t>
      </w:r>
      <w:proofErr w:type="spellEnd"/>
      <w:proofErr w:type="gramEnd"/>
      <w:r w:rsidRPr="00017811">
        <w:rPr>
          <w:sz w:val="22"/>
          <w:szCs w:val="22"/>
        </w:rPr>
        <w:t xml:space="preserve">. L 187, 26. 6. 2014, s. 1—78. (Opatření podpory, v rámci něhož je podpora poskytována, se v návaznosti na výše uvedené nařízení rozumí OPZ, jehož plné znění je k dispozici na webovém portálu </w:t>
      </w:r>
      <w:hyperlink r:id="rId10" w:history="1">
        <w:r w:rsidRPr="00017811">
          <w:rPr>
            <w:rStyle w:val="Hypertextovodkaz"/>
            <w:sz w:val="22"/>
            <w:szCs w:val="22"/>
          </w:rPr>
          <w:t>www.esfcr.cz</w:t>
        </w:r>
      </w:hyperlink>
      <w:r w:rsidRPr="00017811">
        <w:rPr>
          <w:sz w:val="22"/>
          <w:szCs w:val="22"/>
        </w:rPr>
        <w:t>.)</w:t>
      </w:r>
    </w:p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Poskytovatelem veřejné podpory a podpory de minimis v rámci projektu je poskytovatel. </w:t>
      </w:r>
    </w:p>
    <w:p w:rsidR="003C4D02" w:rsidRPr="00017811" w:rsidRDefault="003C4D02" w:rsidP="003C4D02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Příjemce je v souvislosti s poskytováním veřejné podpory či podpory de minimis jiným subjektům (kromě příjemce dotace) zajistit pro poskytovatele před poskytnutím podpory de minimis partnerovi/</w:t>
      </w:r>
      <w:proofErr w:type="spellStart"/>
      <w:r w:rsidRPr="00017811">
        <w:rPr>
          <w:sz w:val="22"/>
          <w:szCs w:val="22"/>
        </w:rPr>
        <w:t>ům</w:t>
      </w:r>
      <w:proofErr w:type="spellEnd"/>
      <w:r w:rsidRPr="00017811">
        <w:rPr>
          <w:sz w:val="22"/>
          <w:szCs w:val="22"/>
        </w:rPr>
        <w:t xml:space="preserve"> podklady k poskytnutí této podpory a také podklady k ověření, zda daný subjekt splňuje podmínky pro zvolený režim podpory dle platných právních předpisů, a to s využitím formulářů, které poskytovatel zveřejní na webovém portálu </w:t>
      </w:r>
      <w:hyperlink r:id="rId11" w:history="1">
        <w:r w:rsidRPr="00017811">
          <w:rPr>
            <w:rStyle w:val="Hypertextovodkaz"/>
            <w:sz w:val="22"/>
            <w:szCs w:val="22"/>
          </w:rPr>
          <w:t>www.esfcr.cz</w:t>
        </w:r>
      </w:hyperlink>
      <w:r w:rsidRPr="00017811">
        <w:rPr>
          <w:sz w:val="22"/>
          <w:szCs w:val="22"/>
        </w:rPr>
        <w:t xml:space="preserve"> (používají se vždy aktuální formuláře).</w:t>
      </w:r>
    </w:p>
    <w:p w:rsidR="003C4D02" w:rsidRDefault="003C4D02" w:rsidP="003C4D02">
      <w:pPr>
        <w:pStyle w:val="slovanseznam"/>
        <w:numPr>
          <w:ilvl w:val="1"/>
          <w:numId w:val="25"/>
        </w:numPr>
        <w:tabs>
          <w:tab w:val="num" w:pos="567"/>
          <w:tab w:val="num" w:pos="720"/>
          <w:tab w:val="num" w:pos="1478"/>
        </w:tabs>
        <w:spacing w:after="220"/>
        <w:ind w:left="567" w:hanging="567"/>
        <w:rPr>
          <w:sz w:val="22"/>
          <w:szCs w:val="22"/>
        </w:rPr>
      </w:pPr>
      <w:r w:rsidRPr="003141A0">
        <w:rPr>
          <w:sz w:val="22"/>
          <w:szCs w:val="22"/>
        </w:rPr>
        <w:t>Pokud to aplikovaný režim veřejné podpory a rozhodnutí poskytovatele vyžaduje, příjemce je povinen od subjektů, kterým je veřejná podpora poskytnuta, zajistit spolufinancování z jejich zdrojů. Spolufinancování projektu ze zdrojů dalšího subjektu je příjmem projektu, který je příjemce povinen oznámit v rámci zprávy o realizaci projektu.</w:t>
      </w:r>
    </w:p>
    <w:p w:rsidR="003C4D02" w:rsidRDefault="003C4D02" w:rsidP="003C4D02">
      <w:pPr>
        <w:spacing w:after="200" w:line="276" w:lineRule="auto"/>
        <w:jc w:val="left"/>
        <w:rPr>
          <w:rFonts w:ascii="Arial" w:eastAsia="Times New Roman" w:hAnsi="Arial" w:cs="Arial"/>
          <w:lang w:eastAsia="cs-CZ"/>
        </w:rPr>
      </w:pPr>
      <w:r>
        <w:br w:type="page"/>
      </w:r>
    </w:p>
    <w:p w:rsidR="003C4D02" w:rsidRPr="00017811" w:rsidRDefault="003C4D02" w:rsidP="00C86054">
      <w:pPr>
        <w:widowControl w:val="0"/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lastRenderedPageBreak/>
        <w:t xml:space="preserve">Část IV - Platební podmínky </w:t>
      </w:r>
    </w:p>
    <w:p w:rsidR="003C4D02" w:rsidRPr="00017811" w:rsidRDefault="003C4D02" w:rsidP="00C86054">
      <w:pPr>
        <w:pStyle w:val="slovanseznam"/>
        <w:widowControl w:val="0"/>
        <w:numPr>
          <w:ilvl w:val="0"/>
          <w:numId w:val="26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Žádost o platbu </w:t>
      </w:r>
    </w:p>
    <w:p w:rsidR="003C4D02" w:rsidRPr="00017811" w:rsidRDefault="003C4D02" w:rsidP="00C86054">
      <w:pPr>
        <w:pStyle w:val="slovanseznam"/>
        <w:widowControl w:val="0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pro účely poskytnutí prostředků dotace předkládat poskytovateli spolu s každou zprávou o realizaci projektu řádně vyplněnou žádost o platbu podloženou příslušnými doklady dle pravidel OPZ. </w:t>
      </w:r>
    </w:p>
    <w:p w:rsidR="003C4D02" w:rsidRPr="00017811" w:rsidRDefault="003C4D02" w:rsidP="00C86054">
      <w:pPr>
        <w:pStyle w:val="slovanseznam"/>
        <w:widowControl w:val="0"/>
        <w:numPr>
          <w:ilvl w:val="1"/>
          <w:numId w:val="26"/>
        </w:numPr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předkládat žádosti o platbu ve formátu, který poskytovatel pro projekt nastaví v informačním systému MS2014+. </w:t>
      </w:r>
    </w:p>
    <w:p w:rsidR="003C4D02" w:rsidRPr="00017811" w:rsidRDefault="003C4D02" w:rsidP="003C4D02">
      <w:pPr>
        <w:pStyle w:val="slovanseznam"/>
        <w:keepNext/>
        <w:numPr>
          <w:ilvl w:val="0"/>
          <w:numId w:val="26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Převod prostředků dotace </w:t>
      </w:r>
    </w:p>
    <w:p w:rsidR="003C4D02" w:rsidRPr="00017811" w:rsidRDefault="003C4D02" w:rsidP="003C4D02">
      <w:pPr>
        <w:pStyle w:val="slovanseznam"/>
        <w:keepNext/>
        <w:tabs>
          <w:tab w:val="num" w:pos="720"/>
        </w:tabs>
        <w:spacing w:after="240"/>
        <w:rPr>
          <w:sz w:val="22"/>
          <w:szCs w:val="22"/>
        </w:rPr>
      </w:pPr>
      <w:r w:rsidRPr="00017811">
        <w:rPr>
          <w:sz w:val="22"/>
          <w:szCs w:val="22"/>
        </w:rPr>
        <w:t>Poskytovatel bude dotaci specifikovanou v článku I této smlouvy příjemci poskytovat ve splátkách v závislosti na postupu realizace projektu. Dotace bude poskytována bezhotovostními bankovními převody bankovní účet uvedený v části specifikace příjemce dotace. Dnem poskytnutí se rozumí den odepsání částky z účtu poskytovatele.</w:t>
      </w:r>
    </w:p>
    <w:p w:rsidR="003C4D02" w:rsidRPr="00017811" w:rsidRDefault="003C4D02" w:rsidP="003C4D02">
      <w:pPr>
        <w:pStyle w:val="slovanseznam"/>
        <w:numPr>
          <w:ilvl w:val="0"/>
          <w:numId w:val="26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Proplácení částí dotace</w:t>
      </w:r>
      <w:r w:rsidRPr="00017811">
        <w:rPr>
          <w:b/>
          <w:bCs/>
          <w:sz w:val="22"/>
          <w:szCs w:val="22"/>
          <w:vertAlign w:val="superscript"/>
        </w:rPr>
        <w:footnoteReference w:id="15"/>
      </w:r>
    </w:p>
    <w:p w:rsidR="003C4D02" w:rsidRPr="00017811" w:rsidRDefault="003C4D02" w:rsidP="003C4D02">
      <w:pPr>
        <w:pStyle w:val="slovanseznam"/>
        <w:spacing w:after="120"/>
        <w:rPr>
          <w:sz w:val="22"/>
          <w:szCs w:val="22"/>
          <w:u w:val="single"/>
        </w:rPr>
      </w:pPr>
      <w:r w:rsidRPr="00017811">
        <w:rPr>
          <w:sz w:val="22"/>
          <w:szCs w:val="22"/>
          <w:u w:val="single"/>
        </w:rPr>
        <w:t>Varianta pro ex-ante financování</w:t>
      </w:r>
    </w:p>
    <w:p w:rsidR="003C4D02" w:rsidRPr="00017811" w:rsidRDefault="003C4D02" w:rsidP="003C4D02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První část dotace bude příjemci dotace proplacena ve výši […],- Kč, z toho prostředky ve výši […],- Kč jsou poskytovány na neinvestiční výdaje projektu a prostředky ve výši […],- Kč na investiční výdaje projektu dle zákona č. 563/1991 Sb., o účetnictví.</w:t>
      </w:r>
    </w:p>
    <w:p w:rsidR="003C4D02" w:rsidRPr="00017811" w:rsidRDefault="003C4D02" w:rsidP="003C4D02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Další části dotace budou propláceny až do maximální výše dotace na základě schválených žádostí o platbu. Výše splátky se rovná částce schválených způsobilých výdajů projektu v rámci dané žádosti o platbu, s výjimkou situace, kdy by poskytnutím platby ve výši schválených výdajů došlo k překročení maximální částky dotace dle části I bodu 2.1 tohoto Rozhodnutí; v tomto případě je částka splátky snížena tak, aby prostředky poskytnuté na projekty dosahovaly souhrnně nejvýše maximální částku dotace. </w:t>
      </w:r>
      <w:r w:rsidRPr="00017811">
        <w:rPr>
          <w:sz w:val="22"/>
          <w:szCs w:val="22"/>
          <w:shd w:val="clear" w:color="auto" w:fill="D9D9D9" w:themeFill="background1" w:themeFillShade="D9"/>
        </w:rPr>
        <w:t>Další části dotace jsou určeny pouze na neinvestiční výdaje projektu / Prostředky dalších částí dotace ve výši […],- Kč jsou poskytovány na neinvestiční výdaje projektu a prostředky ve výši […],- Kč na investiční výdaje projektu dle zákona č. 563/1991 Sb., o účetnictví.</w:t>
      </w:r>
      <w:r w:rsidRPr="00017811">
        <w:rPr>
          <w:sz w:val="22"/>
          <w:szCs w:val="22"/>
        </w:rPr>
        <w:t xml:space="preserve"> </w:t>
      </w:r>
    </w:p>
    <w:p w:rsidR="003C4D02" w:rsidRPr="00017811" w:rsidRDefault="003C4D02" w:rsidP="003C4D02">
      <w:pPr>
        <w:pStyle w:val="slovanseznam"/>
        <w:spacing w:after="120"/>
        <w:rPr>
          <w:sz w:val="22"/>
          <w:szCs w:val="22"/>
          <w:u w:val="single"/>
        </w:rPr>
      </w:pPr>
      <w:r w:rsidRPr="00017811">
        <w:rPr>
          <w:sz w:val="22"/>
          <w:szCs w:val="22"/>
          <w:u w:val="single"/>
        </w:rPr>
        <w:t>Varianta pro ex-post financování</w:t>
      </w:r>
    </w:p>
    <w:p w:rsidR="003C4D02" w:rsidRPr="00017811" w:rsidRDefault="003C4D02" w:rsidP="003C4D02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Splátky dotace jsou příjemci poskytovány na schválených žádostí o platbu. Výše jednotlivých splátek dosahuje částky vzniklých a vyúčtovaných způsobilých výdajů projektu, které jsou zařazeny do jednotlivých žádostí o platbu, přičemž přesnou výši každé platby stanoví na základě kontroly vzniklých výdajů projektu poskytovatel. V případě, že příjemce projekt spolufinancuje z vlastních zdrojů, je platba poskytovatelem poskytnuta jen ve výši odpovídající podílu poskytovatele na financování projektu.</w:t>
      </w:r>
    </w:p>
    <w:p w:rsidR="003C4D02" w:rsidRPr="00017811" w:rsidRDefault="003C4D02" w:rsidP="003C4D02">
      <w:pPr>
        <w:pStyle w:val="slovanseznam"/>
        <w:numPr>
          <w:ilvl w:val="0"/>
          <w:numId w:val="26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Nepřímé náklady</w:t>
      </w:r>
    </w:p>
    <w:p w:rsidR="003C4D02" w:rsidRPr="00017811" w:rsidRDefault="003C4D02" w:rsidP="003C4D02">
      <w:r w:rsidRPr="00017811">
        <w:t>Nepřímé náklady projektu jsou považovány za uskutečněné ve výši, která je výsledkem násobku procenta nepřímých nákladů platného pro projekt a částky odpovídající prokázaným způsobilým přímým nákladům projektu bez výdajů v rámci křížového financování.</w:t>
      </w:r>
    </w:p>
    <w:p w:rsidR="003C4D02" w:rsidRPr="00017811" w:rsidRDefault="003C4D02" w:rsidP="003C4D02">
      <w:r w:rsidRPr="00017811">
        <w:t>Procento nepřímých nákladů platné pro projekt: […] %</w:t>
      </w:r>
    </w:p>
    <w:p w:rsidR="003C4D02" w:rsidRPr="00017811" w:rsidRDefault="003C4D02" w:rsidP="003C4D02">
      <w:r w:rsidRPr="00017811"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:rsidR="003C4D02" w:rsidRPr="00017811" w:rsidRDefault="003C4D02" w:rsidP="003C4D02">
      <w:pPr>
        <w:pStyle w:val="slovanseznam"/>
        <w:numPr>
          <w:ilvl w:val="0"/>
          <w:numId w:val="26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lastRenderedPageBreak/>
        <w:t>Přeplatek dotace (pro ex-ante režim)</w:t>
      </w:r>
    </w:p>
    <w:p w:rsidR="003C4D02" w:rsidRDefault="003C4D02" w:rsidP="003C4D02">
      <w:r w:rsidRPr="00017811">
        <w:t>V případě, že celková dotace poukázaná ve prospěch účtu uvedeného v úvodu tohoto Rozhodnutí převyšuje částku, která by dle závěrečného vyúčtování výdajů projektu měla být z dotace poskytnuta, musí být rozdíl vrácen poskytovateli. Příjemce se zavazuje navrátit tyto prostředky v termínu a způsobem stanovenými ve výzvě zpracované poskytovatelem.</w:t>
      </w:r>
    </w:p>
    <w:p w:rsidR="003C4D02" w:rsidRPr="00017811" w:rsidRDefault="003C4D02" w:rsidP="003C4D02"/>
    <w:p w:rsidR="003C4D02" w:rsidRPr="00017811" w:rsidRDefault="003C4D02" w:rsidP="003C4D02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 xml:space="preserve">Část V - Sankce </w:t>
      </w:r>
    </w:p>
    <w:p w:rsidR="003C4D02" w:rsidRPr="00017811" w:rsidRDefault="003C4D02" w:rsidP="003C4D02">
      <w:pPr>
        <w:pStyle w:val="slovanseznam"/>
        <w:keepNext/>
        <w:numPr>
          <w:ilvl w:val="0"/>
          <w:numId w:val="27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Pozastavení proplácení prostředků dotace</w:t>
      </w:r>
    </w:p>
    <w:p w:rsidR="003C4D02" w:rsidRPr="00017811" w:rsidRDefault="003C4D02" w:rsidP="003C4D02">
      <w:r w:rsidRPr="00017811">
        <w:t>Pokud poskytovatel nebo jiná osoba oprávněná ke kontrole dodržování podmínek dle tohoto Rozhodnutí zjistí, že příjemce dotace nesplnil nebo neplní některou z podmínek uvedených v tomto Rozhodnutí, je poskytovatel oprávněn pozastavit proplácení prostředků dotace a zahájit potřebné kroky vedoucí k identifikaci, zda nevzniklo podezření na porušení rozpočtové kázně podle rozpočtových pravidel.</w:t>
      </w:r>
    </w:p>
    <w:p w:rsidR="003C4D02" w:rsidRPr="00017811" w:rsidRDefault="003C4D02" w:rsidP="003C4D02">
      <w:pPr>
        <w:pStyle w:val="slovanseznam"/>
        <w:numPr>
          <w:ilvl w:val="0"/>
          <w:numId w:val="27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Neproplácení dotace na základě § 14e rozpočtových pravidel </w:t>
      </w:r>
    </w:p>
    <w:p w:rsidR="003C4D02" w:rsidRPr="00017811" w:rsidRDefault="003C4D02" w:rsidP="003C4D02">
      <w:r w:rsidRPr="00017811">
        <w:t>Poskytovatel nemusí vyplatit část dotace, domnívá-li se, že došlo k porušení pravidel stanovených tímto Rozhodnutím.</w:t>
      </w:r>
    </w:p>
    <w:p w:rsidR="003C4D02" w:rsidRPr="00017811" w:rsidRDefault="003C4D02" w:rsidP="003C4D02">
      <w:pPr>
        <w:pStyle w:val="slovanseznam"/>
        <w:numPr>
          <w:ilvl w:val="0"/>
          <w:numId w:val="27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Diferenciace odvodu za porušení rozpočtové kázně dle závažnosti porušení podmínek</w:t>
      </w:r>
      <w:r w:rsidRPr="00017811">
        <w:rPr>
          <w:b/>
          <w:bCs/>
          <w:sz w:val="22"/>
          <w:szCs w:val="22"/>
          <w:vertAlign w:val="superscript"/>
        </w:rPr>
        <w:footnoteReference w:id="16"/>
      </w:r>
    </w:p>
    <w:p w:rsidR="003C4D02" w:rsidRPr="00017811" w:rsidRDefault="003C4D02" w:rsidP="003C4D02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25" w:name="_Ref211607078"/>
      <w:r w:rsidRPr="00017811">
        <w:rPr>
          <w:sz w:val="22"/>
          <w:szCs w:val="22"/>
        </w:rPr>
        <w:t>V případě porušení podmínek týkajících se účelu a udržitelnosti (uvedených v části II bodě 2 a 4) bude vyměřen odvod za porušení rozpočtové kázně ve výši celkové dosud vyplacené částky dotace podle § 44a odst. 4 písm. c) rozpočtových pravidel.</w:t>
      </w:r>
      <w:bookmarkEnd w:id="25"/>
    </w:p>
    <w:p w:rsidR="003C4D02" w:rsidRPr="00017811" w:rsidRDefault="003C4D02" w:rsidP="003C4D02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 porušení podmínek, u kterých lze vyčíslit výši porušení rozpočtové kázně (tj. porušení má jednoznačnou vazbu na způsobilé výdaje), bude vyměřen odvod podle § 44a odst. 4 písm. c) rozpočtových pravidel ve výši nezpůsobilých výdajů uhrazených z dotace. </w:t>
      </w:r>
    </w:p>
    <w:p w:rsidR="003C4D02" w:rsidRPr="00017811" w:rsidRDefault="003C4D02" w:rsidP="003C4D02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26" w:name="_Ref261512417"/>
      <w:r w:rsidRPr="00017811">
        <w:rPr>
          <w:sz w:val="22"/>
          <w:szCs w:val="22"/>
        </w:rPr>
        <w:t xml:space="preserve">V případě, že </w:t>
      </w:r>
    </w:p>
    <w:p w:rsidR="003C4D02" w:rsidRPr="003141A0" w:rsidRDefault="003C4D02" w:rsidP="003C4D02">
      <w:pPr>
        <w:pStyle w:val="Odrky3"/>
        <w:numPr>
          <w:ilvl w:val="2"/>
          <w:numId w:val="53"/>
        </w:numPr>
      </w:pPr>
      <w:r w:rsidRPr="003141A0">
        <w:t>dojde k porušení povinností předložit poskytovateli zprávu o realizaci projektu (včetně žádosti o platbu), předložit poskytovateli vyžádanou informaci ad hoc (uvedených v části II bodě 5.2 a bodě 10, v části III v bodech 2.2 až 2.4) a prodlení bude trvat 7 kalendářních dní a více, přičemž za určující se bere termín vyplývající z tohoto Rozhodnutí ve znění případného vyjádření poskytovatele o změně termínu, které je k dispozici v MS2014+; (netýká se situací, kdy příjemce nemohl z důvodu prokazatelně doložitelných z obsahu MS2014+ zprávu o realizaci projektu nebo žádost o platbu předložit);</w:t>
      </w:r>
    </w:p>
    <w:p w:rsidR="003C4D02" w:rsidRPr="003141A0" w:rsidRDefault="003C4D02" w:rsidP="003C4D02">
      <w:pPr>
        <w:pStyle w:val="Odrky3"/>
        <w:numPr>
          <w:ilvl w:val="2"/>
          <w:numId w:val="53"/>
        </w:numPr>
      </w:pPr>
      <w:r w:rsidRPr="003141A0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:rsidR="003C4D02" w:rsidRPr="003141A0" w:rsidRDefault="003C4D02" w:rsidP="003C4D02">
      <w:pPr>
        <w:pStyle w:val="Odrky3"/>
        <w:numPr>
          <w:ilvl w:val="2"/>
          <w:numId w:val="53"/>
        </w:numPr>
      </w:pPr>
      <w:r w:rsidRPr="003141A0">
        <w:t>dojde k porušení povinností týkajících se vypořádání projektu v souladu s rozpočtovými pravidly a vyhláškou č. 52/2008 Sb., kterou se stanoví zásady a termíny finančního vypořádání se státním rozpočtem, státními finančními aktivy nebo Národním fondem (uvedených v části II bodě 13);</w:t>
      </w:r>
    </w:p>
    <w:p w:rsidR="003C4D02" w:rsidRPr="003141A0" w:rsidRDefault="003C4D02" w:rsidP="003C4D02">
      <w:pPr>
        <w:pStyle w:val="Odrky3"/>
        <w:numPr>
          <w:ilvl w:val="2"/>
          <w:numId w:val="53"/>
        </w:numPr>
      </w:pPr>
      <w:r w:rsidRPr="003141A0">
        <w:lastRenderedPageBreak/>
        <w:t>dojde k porušení povinností týkající se vytvoření podmínek pro provedení kontroly (uvedených v části II bodě 8);</w:t>
      </w:r>
    </w:p>
    <w:p w:rsidR="003C4D02" w:rsidRPr="003141A0" w:rsidRDefault="003C4D02" w:rsidP="003C4D02">
      <w:pPr>
        <w:pStyle w:val="Odrky3"/>
        <w:numPr>
          <w:ilvl w:val="2"/>
          <w:numId w:val="53"/>
        </w:numPr>
      </w:pPr>
      <w:r w:rsidRPr="003141A0">
        <w:t>dojde k porušení povinnosti týkající se práv duševního vlastnictví (uvedených v části II bodě 16);</w:t>
      </w:r>
    </w:p>
    <w:p w:rsidR="003C4D02" w:rsidRPr="003141A0" w:rsidRDefault="003C4D02" w:rsidP="003C4D02">
      <w:pPr>
        <w:pStyle w:val="Odrky3"/>
        <w:numPr>
          <w:ilvl w:val="2"/>
          <w:numId w:val="53"/>
        </w:numPr>
      </w:pPr>
      <w:r w:rsidRPr="003141A0">
        <w:t>dojde k porušení povinností týkajících se partnerství (uvedených v části II bodech 17.1 a 17.3);</w:t>
      </w:r>
    </w:p>
    <w:p w:rsidR="003C4D02" w:rsidRPr="003141A0" w:rsidRDefault="003C4D02" w:rsidP="003C4D02">
      <w:pPr>
        <w:pStyle w:val="Odrky3"/>
        <w:numPr>
          <w:ilvl w:val="2"/>
          <w:numId w:val="53"/>
        </w:numPr>
      </w:pPr>
      <w:r w:rsidRPr="003141A0">
        <w:t xml:space="preserve">dojde k porušení povinnosti uchovávat dokumenty (uvedených v části II bodě 14) a není možné stanovit výši dotace, ke které se dokument váže; </w:t>
      </w:r>
    </w:p>
    <w:p w:rsidR="003C4D02" w:rsidRPr="00017811" w:rsidRDefault="003C4D02" w:rsidP="003C4D02">
      <w:pPr>
        <w:pStyle w:val="slovanseznam"/>
        <w:tabs>
          <w:tab w:val="num" w:pos="-3119"/>
        </w:tabs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bude odvod za porušení rozpočtové kázně vyměřen dle § 44a odst. 4 písm. b) rozpočtových pravidel ve výši 0,5 % z celkové částky dotace. Odvod za porušení rozpočtové kázně přitom nemůže být vyšší než celková částka dotace, která byla vyplacena.</w:t>
      </w:r>
    </w:p>
    <w:p w:rsidR="003C4D02" w:rsidRPr="00017811" w:rsidRDefault="003C4D02" w:rsidP="003C4D02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27" w:name="_Ref207792801"/>
      <w:bookmarkEnd w:id="26"/>
      <w:r w:rsidRPr="00017811">
        <w:rPr>
          <w:sz w:val="22"/>
          <w:szCs w:val="22"/>
        </w:rPr>
        <w:t xml:space="preserve">V případě, že </w:t>
      </w:r>
      <w:bookmarkEnd w:id="27"/>
      <w:r w:rsidRPr="00017811">
        <w:rPr>
          <w:sz w:val="22"/>
          <w:szCs w:val="22"/>
        </w:rPr>
        <w:t>dojde k porušení povinností týkajících se zadávání zakázek (uvedených v části II bodě 6.1), jež je dle pravidel OPZ považováno za porušení rozpočtové kázně, bude odvod za porušení rozpočtové kázně vyměřen dle § 44a odst. 4 písm. b)</w:t>
      </w:r>
      <w:r w:rsidRPr="00017811">
        <w:rPr>
          <w:sz w:val="22"/>
          <w:szCs w:val="22"/>
          <w:vertAlign w:val="superscript"/>
        </w:rPr>
        <w:footnoteReference w:id="17"/>
      </w:r>
      <w:r w:rsidRPr="00017811">
        <w:rPr>
          <w:sz w:val="22"/>
          <w:szCs w:val="22"/>
        </w:rPr>
        <w:t xml:space="preserve"> rozpočtových pravidel ve výši stanovené za porušení dané povinnosti v tabulce sankcí pro oblast zadávání obsažené v Obecné části pravidel pro žadatele a příjemce v rámci OPZ.</w:t>
      </w:r>
    </w:p>
    <w:p w:rsidR="003C4D02" w:rsidRPr="00017811" w:rsidRDefault="003C4D02" w:rsidP="003C4D02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V případě, že dojde k porušení povinností týkajících se provádění informačních a komunikačních opatření (uvedených v části II bodě 9), jež je dle pravidel OPZ považováno za porušení rozpočtové kázně, bude odvod za porušení rozpočtové kázně vyměřen dle § 44a odst. 4 písm. b)</w:t>
      </w:r>
      <w:r w:rsidRPr="00017811">
        <w:rPr>
          <w:sz w:val="22"/>
          <w:szCs w:val="22"/>
          <w:vertAlign w:val="superscript"/>
        </w:rPr>
        <w:footnoteReference w:id="18"/>
      </w:r>
      <w:r w:rsidRPr="00017811">
        <w:rPr>
          <w:sz w:val="22"/>
          <w:szCs w:val="22"/>
        </w:rPr>
        <w:t xml:space="preserve"> rozpočtových pravidel ve výši stanovené za porušení dané povinnosti v tabulce sankcí pro oblast publicity obsažené v Obecné části pravidel pro žadatele a příjemce v rámci OPZ.</w:t>
      </w:r>
    </w:p>
    <w:p w:rsidR="003C4D02" w:rsidRPr="00017811" w:rsidRDefault="003C4D02" w:rsidP="003C4D02">
      <w:pPr>
        <w:pStyle w:val="slovanseznam"/>
        <w:numPr>
          <w:ilvl w:val="1"/>
          <w:numId w:val="27"/>
        </w:numPr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V případě, že do data ukončení realizace projektu nebude dosažena celková cílová hodnota monitorovacích indikátorů výstupů uvedená v části III bodě 2.1, bude dle § 44a odst. 4 písm. b) rozpočtových pravidel vyměřen následující odvod z  částky, ve které byla porušena rozpočtová kázeň (tj. z vyčerpané částky dotace), přičemž odvod za porušení rozpočtové kázně nemůže být vyšší než celková částka dotace, která byla vyplacena.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3C4D02" w:rsidRPr="00C86054" w:rsidTr="006843B3">
        <w:tc>
          <w:tcPr>
            <w:tcW w:w="4536" w:type="dxa"/>
          </w:tcPr>
          <w:p w:rsidR="003C4D02" w:rsidRPr="00C86054" w:rsidRDefault="003C4D02" w:rsidP="006843B3">
            <w:pPr>
              <w:pStyle w:val="Tabulkatext"/>
              <w:spacing w:before="0" w:after="0"/>
              <w:rPr>
                <w:b/>
              </w:rPr>
            </w:pPr>
            <w:r w:rsidRPr="00C86054">
              <w:rPr>
                <w:b/>
              </w:rPr>
              <w:t>Celková míra naplnění monitorovacích indikátorů výstupů uvedených v Informaci o projektu příloze č. 1</w:t>
            </w:r>
          </w:p>
        </w:tc>
        <w:tc>
          <w:tcPr>
            <w:tcW w:w="3897" w:type="dxa"/>
          </w:tcPr>
          <w:p w:rsidR="003C4D02" w:rsidRPr="00C86054" w:rsidRDefault="003C4D02" w:rsidP="006843B3">
            <w:pPr>
              <w:pStyle w:val="Tabulkatext"/>
              <w:spacing w:before="0" w:after="0"/>
              <w:rPr>
                <w:b/>
              </w:rPr>
            </w:pPr>
            <w:r w:rsidRPr="00C86054">
              <w:rPr>
                <w:b/>
              </w:rPr>
              <w:t>Procento odvodu z částky, ve které byla porušena rozpočtová kázeň</w:t>
            </w:r>
          </w:p>
        </w:tc>
      </w:tr>
      <w:tr w:rsidR="003C4D02" w:rsidRPr="00017811" w:rsidTr="006843B3">
        <w:tc>
          <w:tcPr>
            <w:tcW w:w="4536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méně než 85 % až 70 %</w:t>
            </w:r>
          </w:p>
        </w:tc>
        <w:tc>
          <w:tcPr>
            <w:tcW w:w="3897" w:type="dxa"/>
          </w:tcPr>
          <w:p w:rsidR="003C4D02" w:rsidRPr="0023193F" w:rsidRDefault="003C4D02" w:rsidP="006843B3">
            <w:pPr>
              <w:pStyle w:val="Tabulkatext"/>
              <w:spacing w:before="0" w:after="0"/>
            </w:pPr>
            <w:r w:rsidRPr="0023193F">
              <w:t>15 %</w:t>
            </w:r>
          </w:p>
        </w:tc>
      </w:tr>
      <w:tr w:rsidR="003C4D02" w:rsidRPr="00017811" w:rsidTr="006843B3">
        <w:tc>
          <w:tcPr>
            <w:tcW w:w="4536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méně než 70 % až 55 %</w:t>
            </w:r>
          </w:p>
        </w:tc>
        <w:tc>
          <w:tcPr>
            <w:tcW w:w="3897" w:type="dxa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bCs/>
              </w:rPr>
            </w:pPr>
            <w:r w:rsidRPr="00017811">
              <w:t>20 %</w:t>
            </w:r>
          </w:p>
        </w:tc>
      </w:tr>
      <w:tr w:rsidR="003C4D02" w:rsidRPr="00017811" w:rsidTr="006843B3">
        <w:tc>
          <w:tcPr>
            <w:tcW w:w="4536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méně než 55 % až 40 %</w:t>
            </w:r>
          </w:p>
        </w:tc>
        <w:tc>
          <w:tcPr>
            <w:tcW w:w="3897" w:type="dxa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bCs/>
              </w:rPr>
            </w:pPr>
            <w:r w:rsidRPr="00017811">
              <w:t>30 %</w:t>
            </w:r>
          </w:p>
        </w:tc>
      </w:tr>
      <w:tr w:rsidR="003C4D02" w:rsidRPr="00017811" w:rsidTr="006843B3">
        <w:tc>
          <w:tcPr>
            <w:tcW w:w="4536" w:type="dxa"/>
            <w:vAlign w:val="center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méně než 40 %</w:t>
            </w:r>
          </w:p>
        </w:tc>
        <w:tc>
          <w:tcPr>
            <w:tcW w:w="3897" w:type="dxa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bCs/>
              </w:rPr>
            </w:pPr>
            <w:r w:rsidRPr="00017811">
              <w:t>50 %</w:t>
            </w:r>
          </w:p>
        </w:tc>
      </w:tr>
    </w:tbl>
    <w:p w:rsidR="003C4D02" w:rsidRDefault="003C4D02" w:rsidP="003C4D02">
      <w:pPr>
        <w:pStyle w:val="slovanseznam"/>
        <w:tabs>
          <w:tab w:val="num" w:pos="1478"/>
        </w:tabs>
        <w:spacing w:after="60"/>
        <w:ind w:left="567"/>
        <w:rPr>
          <w:sz w:val="22"/>
          <w:szCs w:val="22"/>
        </w:rPr>
      </w:pPr>
      <w:bookmarkStart w:id="28" w:name="_Ref207778134"/>
    </w:p>
    <w:p w:rsidR="003C4D02" w:rsidRPr="00017811" w:rsidRDefault="003C4D02" w:rsidP="003C4D02">
      <w:pPr>
        <w:pStyle w:val="slovanseznam"/>
        <w:tabs>
          <w:tab w:val="num" w:pos="1478"/>
        </w:tabs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aktuálně platná pravidla OPZ stanoví míru naplnění monitorovacích indikátorů výsledků či výstupů mírněji než toto Rozhodnutí, uplatní se míra naplnění dle aktuálně platných pravidel, včetně příp. sankcí za nesplnění. </w:t>
      </w:r>
    </w:p>
    <w:p w:rsidR="003C4D02" w:rsidRDefault="003C4D02" w:rsidP="003C4D02">
      <w:pPr>
        <w:pStyle w:val="slovanseznam"/>
        <w:numPr>
          <w:ilvl w:val="1"/>
          <w:numId w:val="27"/>
        </w:numPr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V případě, že do data ukončení realizace projektu nebude splněna celková cílová hodnota monitorovacích indikátorů výsledků uvedená v části III bodě 2.1, bude dle § 44a odst. 4 písm. b) rozpočtových pravidel vyměřen následující odvod z částky, ve které byla porušena rozpočtová kázeň (tj. z vyčerpané částky dotace), přičemž odvod za porušení rozpočtové kázně nemůže být vyšší než celková částka dotace, která byla vyplacena.</w:t>
      </w:r>
      <w:bookmarkEnd w:id="28"/>
    </w:p>
    <w:p w:rsidR="003C4D02" w:rsidRPr="00017811" w:rsidRDefault="003C4D02" w:rsidP="003C4D02">
      <w:pPr>
        <w:pStyle w:val="slovanseznam"/>
        <w:spacing w:after="220"/>
        <w:ind w:left="567"/>
        <w:rPr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3C4D02" w:rsidRPr="00C86054" w:rsidTr="006843B3">
        <w:tc>
          <w:tcPr>
            <w:tcW w:w="4536" w:type="dxa"/>
          </w:tcPr>
          <w:p w:rsidR="003C4D02" w:rsidRPr="00C86054" w:rsidRDefault="003C4D02" w:rsidP="006843B3">
            <w:pPr>
              <w:pStyle w:val="Tabulkatext"/>
              <w:spacing w:before="0" w:after="0"/>
              <w:rPr>
                <w:b/>
              </w:rPr>
            </w:pPr>
            <w:r w:rsidRPr="00C86054">
              <w:rPr>
                <w:b/>
              </w:rPr>
              <w:lastRenderedPageBreak/>
              <w:t>Celková míra naplnění monitorovacích indikátorů výsledků uvedených Informaci o projektu v příloze č. 1</w:t>
            </w:r>
          </w:p>
        </w:tc>
        <w:tc>
          <w:tcPr>
            <w:tcW w:w="3897" w:type="dxa"/>
          </w:tcPr>
          <w:p w:rsidR="003C4D02" w:rsidRPr="00C86054" w:rsidRDefault="003C4D02" w:rsidP="006843B3">
            <w:pPr>
              <w:pStyle w:val="Tabulkatext"/>
              <w:spacing w:before="0" w:after="0"/>
              <w:rPr>
                <w:b/>
              </w:rPr>
            </w:pPr>
            <w:r w:rsidRPr="00C86054">
              <w:rPr>
                <w:b/>
              </w:rPr>
              <w:t>Procento odvodu z částky, ve které byla porušena rozpočtová kázeň</w:t>
            </w:r>
          </w:p>
        </w:tc>
      </w:tr>
      <w:tr w:rsidR="003C4D02" w:rsidRPr="00017811" w:rsidTr="006843B3">
        <w:tc>
          <w:tcPr>
            <w:tcW w:w="4536" w:type="dxa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méně než 75 % až  50%</w:t>
            </w:r>
          </w:p>
        </w:tc>
        <w:tc>
          <w:tcPr>
            <w:tcW w:w="3897" w:type="dxa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>10 %</w:t>
            </w:r>
          </w:p>
        </w:tc>
      </w:tr>
      <w:tr w:rsidR="003C4D02" w:rsidRPr="00017811" w:rsidTr="006843B3">
        <w:tc>
          <w:tcPr>
            <w:tcW w:w="4536" w:type="dxa"/>
          </w:tcPr>
          <w:p w:rsidR="003C4D02" w:rsidRPr="00017811" w:rsidRDefault="003C4D02" w:rsidP="006843B3">
            <w:pPr>
              <w:pStyle w:val="Tabulkatext"/>
              <w:spacing w:before="0" w:after="0"/>
            </w:pPr>
            <w:r w:rsidRPr="00017811">
              <w:t xml:space="preserve">méně než 50 % </w:t>
            </w:r>
          </w:p>
        </w:tc>
        <w:tc>
          <w:tcPr>
            <w:tcW w:w="3897" w:type="dxa"/>
          </w:tcPr>
          <w:p w:rsidR="003C4D02" w:rsidRPr="00017811" w:rsidRDefault="003C4D02" w:rsidP="006843B3">
            <w:pPr>
              <w:pStyle w:val="Tabulkatext"/>
              <w:spacing w:before="0" w:after="0"/>
              <w:rPr>
                <w:bCs/>
              </w:rPr>
            </w:pPr>
            <w:r w:rsidRPr="00017811">
              <w:t>20 %</w:t>
            </w:r>
          </w:p>
        </w:tc>
      </w:tr>
    </w:tbl>
    <w:p w:rsidR="003C4D02" w:rsidRDefault="003C4D02" w:rsidP="003C4D02">
      <w:pPr>
        <w:pStyle w:val="slovanseznam"/>
        <w:tabs>
          <w:tab w:val="num" w:pos="1478"/>
        </w:tabs>
        <w:ind w:left="567"/>
        <w:rPr>
          <w:sz w:val="22"/>
          <w:szCs w:val="22"/>
        </w:rPr>
      </w:pPr>
    </w:p>
    <w:p w:rsidR="003C4D02" w:rsidRPr="00017811" w:rsidRDefault="003C4D02" w:rsidP="003C4D02">
      <w:pPr>
        <w:pStyle w:val="slovanseznam"/>
        <w:tabs>
          <w:tab w:val="num" w:pos="1478"/>
        </w:tabs>
        <w:spacing w:after="20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aktuálně platná pravidla OPZ stanoví míru naplnění monitorovacích indikátorů výsledků či výstupů mírněji než toto Rozhodnutí, uplatní se míra naplnění dle aktuálně platných pravidel, včetně příp. sankcí za nesplnění. </w:t>
      </w:r>
    </w:p>
    <w:p w:rsidR="003C4D02" w:rsidRPr="00017811" w:rsidRDefault="003C4D02" w:rsidP="003C4D02">
      <w:pPr>
        <w:pStyle w:val="slovanseznam"/>
        <w:numPr>
          <w:ilvl w:val="0"/>
          <w:numId w:val="27"/>
        </w:numPr>
        <w:spacing w:before="240" w:after="120"/>
        <w:rPr>
          <w:b/>
          <w:bCs/>
          <w:sz w:val="22"/>
          <w:szCs w:val="22"/>
        </w:rPr>
      </w:pPr>
      <w:bookmarkStart w:id="29" w:name="_Ref211607117"/>
      <w:r w:rsidRPr="00017811">
        <w:rPr>
          <w:b/>
          <w:bCs/>
          <w:sz w:val="22"/>
          <w:szCs w:val="22"/>
        </w:rPr>
        <w:t>Porušení povinností, jež není porušením rozpočtové kázně</w:t>
      </w:r>
      <w:r w:rsidRPr="00017811">
        <w:rPr>
          <w:b/>
          <w:sz w:val="22"/>
          <w:szCs w:val="22"/>
          <w:vertAlign w:val="superscript"/>
        </w:rPr>
        <w:footnoteReference w:id="19"/>
      </w:r>
      <w:bookmarkEnd w:id="29"/>
    </w:p>
    <w:p w:rsidR="003C4D02" w:rsidRPr="00017811" w:rsidRDefault="003C4D02" w:rsidP="003C4D02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</w:t>
      </w:r>
    </w:p>
    <w:p w:rsidR="003C4D02" w:rsidRPr="00017811" w:rsidRDefault="003C4D02" w:rsidP="003C4D02">
      <w:pPr>
        <w:pStyle w:val="Odrky3"/>
        <w:numPr>
          <w:ilvl w:val="2"/>
          <w:numId w:val="54"/>
        </w:numPr>
      </w:pPr>
      <w:r w:rsidRPr="00017811">
        <w:t>dojde k porušení povinností předložit poskytovateli zprávu o realizaci projektu (včetně žádosti o platbu), předložit poskytovateli vyžádanou informaci ad hoc (uvedených v části II bodě 5.2 a bodě 10, v části III v bodech 2.2 až 2.4) a prodlení bude trvat méně než 7 kalendářních dní, přičemž za určující se bere termín vyplývající z tohoto Rozhodnutí ve znění případného vyjádření poskytovatele o změně termínu, které je k dispozici v MS2014+;</w:t>
      </w:r>
    </w:p>
    <w:p w:rsidR="003C4D02" w:rsidRPr="00017811" w:rsidRDefault="003C4D02" w:rsidP="003C4D02">
      <w:pPr>
        <w:pStyle w:val="Odrky3"/>
        <w:numPr>
          <w:ilvl w:val="2"/>
          <w:numId w:val="54"/>
        </w:numPr>
      </w:pPr>
      <w:r w:rsidRPr="00017811">
        <w:t>dojde k porušení povinností předložit poskytovateli zprávu o realizaci projektu (včetně žádosti o platbu; uvedených v části II bodě 5.2) a prodlení je způsobeno tím, že příjemce nemohl z důvodu prokazatelně doložitelných z obsahu MS2014+ zprávu o realizaci projektu nebo žádost o platbu předložit;</w:t>
      </w:r>
    </w:p>
    <w:p w:rsidR="003C4D02" w:rsidRPr="00017811" w:rsidRDefault="003C4D02" w:rsidP="003C4D02">
      <w:pPr>
        <w:pStyle w:val="Odrky3"/>
        <w:numPr>
          <w:ilvl w:val="2"/>
          <w:numId w:val="54"/>
        </w:numPr>
      </w:pPr>
      <w:r w:rsidRPr="00017811">
        <w:t xml:space="preserve">dojde k porušení povinností týkajících se oznamovací povinnosti (uvedených v části II bodě 11), včetně oznamování nepodstatných změn a v pravidlech OPZ je pro dané pochybení stanoveno, že nezakládá porušení rozpočtové kázně; </w:t>
      </w:r>
    </w:p>
    <w:p w:rsidR="003C4D02" w:rsidRPr="00017811" w:rsidRDefault="003C4D02" w:rsidP="003C4D02">
      <w:pPr>
        <w:pStyle w:val="Odrky3"/>
        <w:numPr>
          <w:ilvl w:val="2"/>
          <w:numId w:val="54"/>
        </w:numPr>
      </w:pPr>
      <w:r w:rsidRPr="00017811">
        <w:t>dojde k porušení povinností týkajících se zadávání zakázek (uvedených v části II bodě 6.1), jež dle pravidel OPZ není považováno za porušení rozpočtové kázně, nebo dojde k porušení povinností uvedených v části II bodě 6.2,</w:t>
      </w:r>
    </w:p>
    <w:p w:rsidR="003C4D02" w:rsidRPr="00017811" w:rsidRDefault="003C4D02" w:rsidP="003C4D02">
      <w:pPr>
        <w:pStyle w:val="Odrky3"/>
        <w:numPr>
          <w:ilvl w:val="2"/>
          <w:numId w:val="54"/>
        </w:numPr>
      </w:pPr>
      <w:r w:rsidRPr="00017811">
        <w:t>dojde k porušení povinností týkajících se provádění informačních a komunikačních opatření (uvedených v části II bodě 9), jež dle pravidel OPZ není považováno za porušení rozpočtové kázně,</w:t>
      </w:r>
    </w:p>
    <w:p w:rsidR="003C4D02" w:rsidRPr="00017811" w:rsidRDefault="003C4D02" w:rsidP="003C4D02">
      <w:pPr>
        <w:pStyle w:val="Odrky3"/>
        <w:numPr>
          <w:ilvl w:val="2"/>
          <w:numId w:val="54"/>
        </w:numPr>
      </w:pPr>
      <w:r w:rsidRPr="00017811">
        <w:t xml:space="preserve">bude splněna cílová hodnota monitorovacích indikátorů výstupů uvedených v Informaci o projektu v příloze č. 1 tohoto Rozhodnutí z 85 % nebo více, </w:t>
      </w:r>
    </w:p>
    <w:p w:rsidR="003C4D02" w:rsidRPr="00017811" w:rsidRDefault="003C4D02" w:rsidP="003C4D02">
      <w:pPr>
        <w:pStyle w:val="Odrky3"/>
        <w:numPr>
          <w:ilvl w:val="2"/>
          <w:numId w:val="54"/>
        </w:numPr>
      </w:pPr>
      <w:r w:rsidRPr="00017811">
        <w:t xml:space="preserve">bude splněna cílová hodnota monitorovacích indikátorů výsledků uvedených v Informaci o projektu v příloze č. 1 tohoto Rozhodnutí ze 75 % nebo více, </w:t>
      </w:r>
    </w:p>
    <w:p w:rsidR="003C4D02" w:rsidRPr="00017811" w:rsidRDefault="003C4D02" w:rsidP="003C4D02">
      <w:pPr>
        <w:pStyle w:val="Odrky3"/>
        <w:numPr>
          <w:ilvl w:val="2"/>
          <w:numId w:val="54"/>
        </w:numPr>
      </w:pPr>
      <w:r w:rsidRPr="00017811">
        <w:t>dojde k nedodržení finančního plánu projektu obsaženého v příloze č. 1 tohoto Rozhodnutí, příp. upraveného v režimu nepodstatných změn projektu,</w:t>
      </w:r>
    </w:p>
    <w:p w:rsidR="003C4D02" w:rsidRPr="00017811" w:rsidRDefault="003C4D02" w:rsidP="003C4D02">
      <w:pPr>
        <w:pStyle w:val="Odrky3"/>
        <w:numPr>
          <w:ilvl w:val="2"/>
          <w:numId w:val="54"/>
        </w:numPr>
      </w:pPr>
      <w:r w:rsidRPr="00017811">
        <w:t>dojde k porušení povinností týkajících se přeplatku dotace (uvedených v části II bodě 6.1); tento bod ovšem nezahrnuje porušení povinností dle vyhlášky č. 52/2008 Sb., kterou se stanoví zásady a termíny finančního vypořádání se státním rozpočtem, státními finančními aktivy nebo Národním fondem (viz část II bod 13),</w:t>
      </w:r>
    </w:p>
    <w:p w:rsidR="003C4D02" w:rsidRDefault="003C4D02" w:rsidP="003C4D02">
      <w:pPr>
        <w:pStyle w:val="slovanseznam"/>
        <w:tabs>
          <w:tab w:val="num" w:pos="1478"/>
        </w:tabs>
        <w:spacing w:after="22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nejedná se o porušení rozpočtové kázně ve smyslu rozpočtových pravidel.</w:t>
      </w:r>
    </w:p>
    <w:p w:rsidR="003C4D02" w:rsidRDefault="003C4D02" w:rsidP="003C4D02">
      <w:pPr>
        <w:spacing w:after="200" w:line="276" w:lineRule="auto"/>
        <w:jc w:val="left"/>
        <w:rPr>
          <w:rFonts w:ascii="Arial" w:eastAsia="Times New Roman" w:hAnsi="Arial" w:cs="Arial"/>
          <w:lang w:eastAsia="cs-CZ"/>
        </w:rPr>
      </w:pPr>
      <w:r>
        <w:br w:type="page"/>
      </w:r>
    </w:p>
    <w:p w:rsidR="003C4D02" w:rsidRPr="00017811" w:rsidRDefault="003C4D02" w:rsidP="003C4D02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lastRenderedPageBreak/>
        <w:t>Část VI – Závěrečná ustanovení</w:t>
      </w:r>
    </w:p>
    <w:p w:rsidR="003C4D02" w:rsidRPr="00017811" w:rsidRDefault="003C4D02" w:rsidP="003C4D02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before="120"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 xml:space="preserve">Pojmy uvedené v tomto Rozhodnutí jsou používány ve smyslu, jak jsou definovány </w:t>
      </w:r>
      <w:r w:rsidRPr="00017811">
        <w:rPr>
          <w:sz w:val="22"/>
          <w:szCs w:val="22"/>
        </w:rPr>
        <w:t>Obecné části pravidel pro žadatele a příjemce v rámci OPZ</w:t>
      </w:r>
      <w:r w:rsidRPr="00017811">
        <w:rPr>
          <w:iCs/>
          <w:snapToGrid w:val="0"/>
          <w:sz w:val="22"/>
          <w:szCs w:val="22"/>
        </w:rPr>
        <w:t>.</w:t>
      </w:r>
    </w:p>
    <w:p w:rsidR="003C4D02" w:rsidRPr="00017811" w:rsidRDefault="003C4D02" w:rsidP="003C4D02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Rozhodnutí nabývá účinnosti dnem podpisu poskytovatelem dotace.</w:t>
      </w:r>
    </w:p>
    <w:p w:rsidR="003C4D02" w:rsidRPr="00017811" w:rsidRDefault="003C4D02" w:rsidP="003C4D02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Rozhodnutí se vyhotovuje v elektronické verzi v prostředí infomačního systému MS2014+, poskytovatel i příjemce mají k vydanému Rozhodnutí přístup a mohou pořizovat výtisky tohoto dokumentu dle svých potřeb.</w:t>
      </w:r>
    </w:p>
    <w:p w:rsidR="003C4D02" w:rsidRPr="00017811" w:rsidRDefault="003C4D02" w:rsidP="003C4D02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Příjemce dotace je povinen řídit se při realizaci projektu ustanoveními příloh uvedených v odst. 5 této části Rozhodnutí a dále dokumenty, které jsou zmíněny v části II bodě 1 tohoto Rozhodnutí.</w:t>
      </w:r>
    </w:p>
    <w:p w:rsidR="003C4D02" w:rsidRPr="00017811" w:rsidRDefault="003C4D02" w:rsidP="003C4D02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Součástí Rozhodnutí jsou tyto přílohy:</w:t>
      </w:r>
    </w:p>
    <w:p w:rsidR="003C4D02" w:rsidRPr="00017811" w:rsidRDefault="003C4D02" w:rsidP="003C4D02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:rsidR="003C4D02" w:rsidRPr="00C55CF5" w:rsidRDefault="003C4D02" w:rsidP="003C4D02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220"/>
        <w:ind w:left="357" w:hanging="357"/>
      </w:pPr>
      <w:r w:rsidRPr="00017811">
        <w:rPr>
          <w:sz w:val="22"/>
          <w:szCs w:val="22"/>
        </w:rPr>
        <w:t xml:space="preserve">Veškeré změny Rozhodnutí je možné provádět pouze na základě žádosti příjemce dotace. Změny projektu lze provádět v režimu nepodstatné změny nebo podstatné změny. Podstatná změna ve vymezených případech dle pravidel OPZ vyžaduje vydání rozhodnutí o změně tohoto Rozhodnutí, v ostatních vymezených případech dle pravidel OPZ je podstatná změna schválena rozhodnutím poskytovatele, které je k dispozici v MS2014+. Nepodstatné změny lze provádět bez souhlasu poskytovatele. Podrobnosti stanoví pravidla OPZ. </w:t>
      </w:r>
    </w:p>
    <w:p w:rsidR="003C4D02" w:rsidRPr="003141A0" w:rsidRDefault="003C4D02" w:rsidP="003C4D02">
      <w:pPr>
        <w:pStyle w:val="slovanseznam"/>
        <w:spacing w:after="220"/>
        <w:ind w:left="357"/>
      </w:pPr>
    </w:p>
    <w:p w:rsidR="003C4D02" w:rsidRPr="00017811" w:rsidRDefault="003C4D02" w:rsidP="003C4D02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 xml:space="preserve">Část VI - Poučení </w:t>
      </w:r>
    </w:p>
    <w:p w:rsidR="003C4D02" w:rsidRPr="00017811" w:rsidRDefault="003C4D02" w:rsidP="003C4D02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spacing w:before="120" w:after="60"/>
        <w:ind w:left="357" w:hanging="357"/>
        <w:rPr>
          <w:sz w:val="22"/>
          <w:szCs w:val="22"/>
        </w:rPr>
      </w:pPr>
      <w:r w:rsidRPr="00017811">
        <w:rPr>
          <w:sz w:val="22"/>
          <w:szCs w:val="22"/>
        </w:rPr>
        <w:t>Na vydání tohoto Rozhodnutí se na základě ustanovení § 14 odst. 4 rozpočtových pravidel nevztahují obecné právní předpisy o správním řízení a je vyloučeno jeho soudní přezkoumání. Proti tomuto Rozhodnutí se nelze odvolat, ani podat jiný opravný prostředek.</w:t>
      </w:r>
    </w:p>
    <w:p w:rsidR="003C4D02" w:rsidRPr="00017811" w:rsidRDefault="003C4D02" w:rsidP="003C4D02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spacing w:after="60"/>
        <w:ind w:left="360"/>
        <w:rPr>
          <w:sz w:val="22"/>
          <w:szCs w:val="22"/>
        </w:rPr>
      </w:pPr>
      <w:r w:rsidRPr="00017811">
        <w:rPr>
          <w:sz w:val="22"/>
          <w:szCs w:val="22"/>
        </w:rPr>
        <w:t>Za podmínek stanovených v § 15 rozpočtových pravidel může být zahájeno řízení o odnětí dotace. Na řízení o odnětí dotace se vztahují obecné předpisy o správním řízení.</w:t>
      </w:r>
    </w:p>
    <w:p w:rsidR="003C4D02" w:rsidRPr="00017811" w:rsidRDefault="003C4D02" w:rsidP="003C4D02">
      <w:pPr>
        <w:pStyle w:val="slovanseznam"/>
        <w:rPr>
          <w:sz w:val="22"/>
          <w:szCs w:val="22"/>
        </w:rPr>
      </w:pPr>
    </w:p>
    <w:p w:rsidR="003C4D02" w:rsidRPr="00017811" w:rsidRDefault="003C4D02" w:rsidP="003C4D02">
      <w:pPr>
        <w:rPr>
          <w:rFonts w:ascii="Arial" w:hAnsi="Arial" w:cs="Arial"/>
        </w:rPr>
      </w:pPr>
      <w:r w:rsidRPr="00017811">
        <w:rPr>
          <w:rFonts w:ascii="Arial" w:hAnsi="Arial" w:cs="Arial"/>
        </w:rPr>
        <w:t>V Praze, dne ………………</w:t>
      </w:r>
    </w:p>
    <w:p w:rsidR="003C4D02" w:rsidRPr="00017811" w:rsidRDefault="003C4D02" w:rsidP="003C4D02">
      <w:pPr>
        <w:rPr>
          <w:rFonts w:ascii="Arial" w:hAnsi="Arial" w:cs="Arial"/>
        </w:rPr>
      </w:pPr>
    </w:p>
    <w:p w:rsidR="003C4D02" w:rsidRPr="00017811" w:rsidRDefault="003C4D02" w:rsidP="003C4D02">
      <w:pPr>
        <w:rPr>
          <w:rFonts w:ascii="Arial" w:hAnsi="Arial" w:cs="Arial"/>
        </w:rPr>
      </w:pPr>
    </w:p>
    <w:p w:rsidR="003C4D02" w:rsidRPr="00017811" w:rsidRDefault="003C4D02" w:rsidP="003C4D02">
      <w:pPr>
        <w:rPr>
          <w:rFonts w:ascii="Arial" w:hAnsi="Arial" w:cs="Arial"/>
        </w:rPr>
      </w:pPr>
    </w:p>
    <w:p w:rsidR="003C4D02" w:rsidRPr="00017811" w:rsidRDefault="003C4D02" w:rsidP="003C4D02">
      <w:pPr>
        <w:rPr>
          <w:rFonts w:ascii="Arial" w:hAnsi="Arial" w:cs="Arial"/>
        </w:rPr>
      </w:pPr>
    </w:p>
    <w:p w:rsidR="003C4D02" w:rsidRPr="00017811" w:rsidRDefault="003C4D02" w:rsidP="003C4D02">
      <w:pPr>
        <w:ind w:left="4248" w:firstLine="708"/>
        <w:rPr>
          <w:rFonts w:ascii="Arial" w:hAnsi="Arial" w:cs="Arial"/>
        </w:rPr>
      </w:pPr>
      <w:r w:rsidRPr="00017811">
        <w:rPr>
          <w:rFonts w:ascii="Arial" w:hAnsi="Arial" w:cs="Arial"/>
        </w:rPr>
        <w:t>………………………………</w:t>
      </w:r>
    </w:p>
    <w:p w:rsidR="003C4D02" w:rsidRPr="00017811" w:rsidRDefault="003C4D02" w:rsidP="003C4D02">
      <w:pPr>
        <w:pStyle w:val="Zhlav"/>
        <w:tabs>
          <w:tab w:val="clear" w:pos="4536"/>
          <w:tab w:val="clear" w:pos="9072"/>
        </w:tabs>
        <w:spacing w:after="240"/>
        <w:ind w:left="357"/>
        <w:jc w:val="right"/>
        <w:rPr>
          <w:rFonts w:ascii="Arial" w:hAnsi="Arial" w:cs="Arial"/>
        </w:rPr>
      </w:pPr>
      <w:r w:rsidRPr="00017811">
        <w:rPr>
          <w:rFonts w:ascii="Arial" w:hAnsi="Arial" w:cs="Arial"/>
        </w:rPr>
        <w:t>(</w:t>
      </w:r>
      <w:r w:rsidRPr="00017811">
        <w:rPr>
          <w:rFonts w:ascii="Arial" w:hAnsi="Arial" w:cs="Arial"/>
          <w:highlight w:val="lightGray"/>
        </w:rPr>
        <w:t>podpis osoby oprávněné vydat rozhodnutí a uvedení jejího jména a funkce</w:t>
      </w:r>
      <w:r w:rsidRPr="00017811">
        <w:rPr>
          <w:rFonts w:ascii="Arial" w:hAnsi="Arial" w:cs="Arial"/>
        </w:rPr>
        <w:t>)</w:t>
      </w:r>
    </w:p>
    <w:p w:rsidR="003C4D02" w:rsidRDefault="003C4D02" w:rsidP="00C1219D">
      <w:pPr>
        <w:pStyle w:val="Zkladntext"/>
        <w:ind w:left="4680"/>
        <w:rPr>
          <w:rFonts w:ascii="Arial" w:hAnsi="Arial"/>
          <w:b/>
          <w:bCs/>
          <w:sz w:val="28"/>
          <w:szCs w:val="28"/>
        </w:rPr>
      </w:pPr>
      <w:r w:rsidRPr="00017811">
        <w:rPr>
          <w:rFonts w:ascii="Arial" w:hAnsi="Arial"/>
          <w:color w:val="00B050"/>
        </w:rPr>
        <w:t xml:space="preserve"> </w:t>
      </w:r>
    </w:p>
    <w:sectPr w:rsidR="003C4D02" w:rsidSect="000F0056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1219D">
            <w:rPr>
              <w:noProof/>
            </w:rPr>
            <w:t>15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C86054">
            <w:fldChar w:fldCharType="begin"/>
          </w:r>
          <w:r w:rsidR="00C86054">
            <w:instrText xml:space="preserve"> NUMPAGES   \* MERGEFORMAT </w:instrText>
          </w:r>
          <w:r w:rsidR="00C86054">
            <w:fldChar w:fldCharType="separate"/>
          </w:r>
          <w:r w:rsidR="00C1219D">
            <w:rPr>
              <w:noProof/>
            </w:rPr>
            <w:t>15</w:t>
          </w:r>
          <w:r w:rsidR="00C86054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1219D">
            <w:rPr>
              <w:noProof/>
            </w:rPr>
            <w:t>1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fldSimple w:instr=" NUMPAGES   \* MERGEFORMAT ">
            <w:r w:rsidR="00C1219D">
              <w:rPr>
                <w:noProof/>
              </w:rPr>
              <w:t>15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3C4D02" w:rsidRPr="00C16DD0" w:rsidRDefault="003C4D02" w:rsidP="003C4D02">
      <w:pPr>
        <w:pStyle w:val="Textpoznpodarou"/>
        <w:tabs>
          <w:tab w:val="left" w:pos="-1701"/>
        </w:tabs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Vzor je aplikací současně platných a účinných právních předpisů a může být upraven v souvislosti s jejich novelizacemi. Tato a všechny následující poznámky pod čarou slouží </w:t>
      </w:r>
      <w:proofErr w:type="gramStart"/>
      <w:r w:rsidRPr="00C16DD0">
        <w:rPr>
          <w:szCs w:val="18"/>
        </w:rPr>
        <w:t>pouze jako</w:t>
      </w:r>
      <w:proofErr w:type="gramEnd"/>
      <w:r w:rsidRPr="00C16DD0">
        <w:rPr>
          <w:szCs w:val="18"/>
        </w:rPr>
        <w:t xml:space="preserve"> pomůcka určená poskytovateli při vypracování právního aktu o poskytnutí dotace Samotný právní akt o poskytnutí podpory je nebude obsahovat.</w:t>
      </w:r>
    </w:p>
  </w:footnote>
  <w:footnote w:id="2">
    <w:p w:rsidR="003C4D02" w:rsidRPr="00C16DD0" w:rsidRDefault="003C4D02" w:rsidP="003C4D02">
      <w:pPr>
        <w:pStyle w:val="Textpoznpodarou"/>
        <w:tabs>
          <w:tab w:val="left" w:pos="0"/>
        </w:tabs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Části textu podbarvené šedě znamenají podle kontextu nutnost doplnit požadované údaje, možnost doplnit jiný text (např. označen poskytovatele) nebo možnost nepoužít některá z ustanovení (ta, která nejsou v daném projektu relevantní.</w:t>
      </w:r>
    </w:p>
  </w:footnote>
  <w:footnote w:id="3">
    <w:p w:rsidR="003C4D02" w:rsidRPr="00C16DD0" w:rsidRDefault="003C4D02" w:rsidP="003C4D02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Vyberte pouze jednu z variant. V případě, že prostředky bude poskytovatel zasílat na účet kraje či obce / zřizovatele příjemce, uveďte ten účet, který bude příjmový pro transakce uskutečněné poskytovatelem.</w:t>
      </w:r>
    </w:p>
  </w:footnote>
  <w:footnote w:id="4">
    <w:p w:rsidR="003C4D02" w:rsidRPr="00C16DD0" w:rsidRDefault="003C4D02" w:rsidP="003C4D02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Rozdělení není nezbytnou součástí právního aktu u projektů, které jsou plně financovány v některém z režimů zjednodušeného vykazování výdajů.</w:t>
      </w:r>
    </w:p>
  </w:footnote>
  <w:footnote w:id="5">
    <w:p w:rsidR="003C4D02" w:rsidRPr="00C16DD0" w:rsidRDefault="003C4D02" w:rsidP="003C4D02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Zvolte variantu. </w:t>
      </w:r>
    </w:p>
  </w:footnote>
  <w:footnote w:id="6">
    <w:p w:rsidR="003C4D02" w:rsidRPr="00C16DD0" w:rsidRDefault="003C4D02" w:rsidP="003C4D02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Vložit formulaci účelu dotace.</w:t>
      </w:r>
    </w:p>
  </w:footnote>
  <w:footnote w:id="7">
    <w:p w:rsidR="003C4D02" w:rsidRPr="00C16DD0" w:rsidRDefault="003C4D02" w:rsidP="003C4D02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Doplňte dle specifické příručky platné pro danou výzvu.</w:t>
      </w:r>
    </w:p>
  </w:footnote>
  <w:footnote w:id="8">
    <w:p w:rsidR="003C4D02" w:rsidRDefault="003C4D02" w:rsidP="003C4D02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9">
    <w:p w:rsidR="003C4D02" w:rsidRDefault="003C4D02" w:rsidP="00C1219D">
      <w:pPr>
        <w:pStyle w:val="Textpoznpodarou"/>
      </w:pPr>
      <w:r>
        <w:rPr>
          <w:rStyle w:val="Znakapoznpodarou"/>
          <w:rFonts w:eastAsiaTheme="majorEastAsia"/>
        </w:rPr>
        <w:footnoteRef/>
      </w:r>
      <w:r w:rsidR="00C1219D">
        <w:t xml:space="preserve"> </w:t>
      </w:r>
      <w:r>
        <w:t>§ 44a odstavce 9 zákona č. 218/2000 Sb., o rozpočtových pravidlech, stanovuje, že odvod a penále lze vyměřit do 10 let od 1. ledna roku následujícího po roce, v němž došlo k porušení rozpočtové kázně. Po tuto dobu by měly být dokumenty archivovány. Pokud příjemce dotace neprokáže, jak byly prostředky použity, je to považováno za neoprávněné použití peněžních prostředků dle § 3 písmo e) zákona č. 218/2000 Sb.</w:t>
      </w:r>
      <w:r>
        <w:t xml:space="preserve">, </w:t>
      </w:r>
      <w:r w:rsidR="00C1219D">
        <w:br/>
      </w:r>
      <w:bookmarkStart w:id="11" w:name="_GoBack"/>
      <w:bookmarkEnd w:id="11"/>
      <w:r>
        <w:t>o rozpočtových pravidlech.</w:t>
      </w:r>
    </w:p>
  </w:footnote>
  <w:footnote w:id="10">
    <w:p w:rsidR="003C4D02" w:rsidRDefault="003C4D02" w:rsidP="003C4D02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11">
    <w:p w:rsidR="003C4D02" w:rsidRDefault="003C4D02" w:rsidP="003C4D02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2">
    <w:p w:rsidR="003C4D02" w:rsidRDefault="003C4D02" w:rsidP="003C4D02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3">
    <w:p w:rsidR="003C4D02" w:rsidRDefault="003C4D02" w:rsidP="003C4D02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Vyberte odpovídající variantu.</w:t>
      </w:r>
    </w:p>
  </w:footnote>
  <w:footnote w:id="14">
    <w:p w:rsidR="003C4D02" w:rsidRDefault="003C4D02" w:rsidP="003C4D02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Vyberte odpovídající variantu.</w:t>
      </w:r>
    </w:p>
  </w:footnote>
  <w:footnote w:id="15">
    <w:p w:rsidR="003C4D02" w:rsidRDefault="003C4D02" w:rsidP="003C4D02">
      <w:pPr>
        <w:pStyle w:val="Textpoznpodarou"/>
        <w:tabs>
          <w:tab w:val="left" w:pos="180"/>
        </w:tabs>
        <w:ind w:left="181" w:hanging="181"/>
      </w:pPr>
      <w:r w:rsidRPr="00CE1032">
        <w:rPr>
          <w:rStyle w:val="Znakapoznpodarou"/>
          <w:rFonts w:eastAsiaTheme="majorEastAsia"/>
        </w:rPr>
        <w:footnoteRef/>
      </w:r>
      <w:r>
        <w:t xml:space="preserve"> </w:t>
      </w:r>
      <w:r w:rsidRPr="00CE1032">
        <w:t>Pouze u projektů bez soukromého spolufinancování ze strany příjemce (podniku).</w:t>
      </w:r>
    </w:p>
  </w:footnote>
  <w:footnote w:id="16">
    <w:p w:rsidR="003C4D02" w:rsidRDefault="003C4D02" w:rsidP="003C4D02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Poskytovatel dotace má podle § 14 odst. 7 zákona č. 218/2000 Sb. (u prostředků definovaných v § 44 odst. 2 písm. b) d), f) h) rozpočtových pravidel) možnost v Rozhodnutí stanovit, že odvod za porušení rozpočtové kázně bude nižší, než je celková částka dotace. Výčet povinností, resp. podmínek, které lze takto označit, není obecně vymezen, a takový výčet je možné stanovit pouze na základě posouzení specifik jednotlivých operačních programů/projektů.</w:t>
      </w:r>
    </w:p>
  </w:footnote>
  <w:footnote w:id="17">
    <w:p w:rsidR="003C4D02" w:rsidRDefault="003C4D02" w:rsidP="003C4D02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3E2FE1">
        <w:t xml:space="preserve">§ 44 odst. 1 písm. a) v případě projektů </w:t>
      </w:r>
      <w:proofErr w:type="spellStart"/>
      <w:r w:rsidRPr="003E2FE1">
        <w:t>OSS</w:t>
      </w:r>
      <w:proofErr w:type="spellEnd"/>
    </w:p>
  </w:footnote>
  <w:footnote w:id="18">
    <w:p w:rsidR="003C4D02" w:rsidRDefault="003C4D02" w:rsidP="003C4D02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3E2FE1">
        <w:t xml:space="preserve">§ 44 odst. 1 písm. a) v případě projektů </w:t>
      </w:r>
      <w:proofErr w:type="spellStart"/>
      <w:r w:rsidRPr="003E2FE1">
        <w:t>OSS</w:t>
      </w:r>
      <w:proofErr w:type="spellEnd"/>
    </w:p>
  </w:footnote>
  <w:footnote w:id="19">
    <w:p w:rsidR="003C4D02" w:rsidRDefault="003C4D02" w:rsidP="003C4D02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 xml:space="preserve">Podle § 14 odst. 3 písm. k) rozpočtových pravidel lze určit, že porušení některé z povinností stanovených v rozhodnutí o poskytnutí dotace nejsou porušením rozpočtové kázně. Takto ale nelze postupovat u povinností stanovených právními předpisy.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6C7E71FA" wp14:editId="49E7779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1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39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4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7"/>
  </w:num>
  <w:num w:numId="5">
    <w:abstractNumId w:val="19"/>
  </w:num>
  <w:num w:numId="6">
    <w:abstractNumId w:val="12"/>
  </w:num>
  <w:num w:numId="7">
    <w:abstractNumId w:val="0"/>
  </w:num>
  <w:num w:numId="8">
    <w:abstractNumId w:val="52"/>
  </w:num>
  <w:num w:numId="9">
    <w:abstractNumId w:val="25"/>
  </w:num>
  <w:num w:numId="10">
    <w:abstractNumId w:val="42"/>
  </w:num>
  <w:num w:numId="11">
    <w:abstractNumId w:val="20"/>
  </w:num>
  <w:num w:numId="12">
    <w:abstractNumId w:val="53"/>
  </w:num>
  <w:num w:numId="13">
    <w:abstractNumId w:val="22"/>
  </w:num>
  <w:num w:numId="14">
    <w:abstractNumId w:val="48"/>
  </w:num>
  <w:num w:numId="15">
    <w:abstractNumId w:val="2"/>
  </w:num>
  <w:num w:numId="16">
    <w:abstractNumId w:val="5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5"/>
  </w:num>
  <w:num w:numId="20">
    <w:abstractNumId w:val="56"/>
  </w:num>
  <w:num w:numId="21">
    <w:abstractNumId w:val="3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39"/>
  </w:num>
  <w:num w:numId="26">
    <w:abstractNumId w:val="21"/>
  </w:num>
  <w:num w:numId="27">
    <w:abstractNumId w:val="11"/>
  </w:num>
  <w:num w:numId="28">
    <w:abstractNumId w:val="36"/>
  </w:num>
  <w:num w:numId="29">
    <w:abstractNumId w:val="1"/>
  </w:num>
  <w:num w:numId="30">
    <w:abstractNumId w:val="43"/>
  </w:num>
  <w:num w:numId="31">
    <w:abstractNumId w:val="46"/>
  </w:num>
  <w:num w:numId="32">
    <w:abstractNumId w:val="23"/>
  </w:num>
  <w:num w:numId="33">
    <w:abstractNumId w:val="13"/>
  </w:num>
  <w:num w:numId="34">
    <w:abstractNumId w:val="49"/>
  </w:num>
  <w:num w:numId="35">
    <w:abstractNumId w:val="29"/>
  </w:num>
  <w:num w:numId="36">
    <w:abstractNumId w:val="7"/>
  </w:num>
  <w:num w:numId="37">
    <w:abstractNumId w:val="18"/>
  </w:num>
  <w:num w:numId="38">
    <w:abstractNumId w:val="44"/>
  </w:num>
  <w:num w:numId="39">
    <w:abstractNumId w:val="17"/>
  </w:num>
  <w:num w:numId="40">
    <w:abstractNumId w:val="59"/>
  </w:num>
  <w:num w:numId="41">
    <w:abstractNumId w:val="28"/>
  </w:num>
  <w:num w:numId="42">
    <w:abstractNumId w:val="41"/>
  </w:num>
  <w:num w:numId="43">
    <w:abstractNumId w:val="38"/>
  </w:num>
  <w:num w:numId="44">
    <w:abstractNumId w:val="6"/>
  </w:num>
  <w:num w:numId="45">
    <w:abstractNumId w:val="27"/>
  </w:num>
  <w:num w:numId="46">
    <w:abstractNumId w:val="55"/>
  </w:num>
  <w:num w:numId="47">
    <w:abstractNumId w:val="14"/>
  </w:num>
  <w:num w:numId="48">
    <w:abstractNumId w:val="51"/>
  </w:num>
  <w:num w:numId="49">
    <w:abstractNumId w:val="40"/>
  </w:num>
  <w:num w:numId="50">
    <w:abstractNumId w:val="32"/>
  </w:num>
  <w:num w:numId="51">
    <w:abstractNumId w:val="50"/>
  </w:num>
  <w:num w:numId="52">
    <w:abstractNumId w:val="54"/>
  </w:num>
  <w:num w:numId="53">
    <w:abstractNumId w:val="16"/>
  </w:num>
  <w:num w:numId="54">
    <w:abstractNumId w:val="45"/>
  </w:num>
  <w:num w:numId="55">
    <w:abstractNumId w:val="30"/>
  </w:num>
  <w:num w:numId="56">
    <w:abstractNumId w:val="24"/>
  </w:num>
  <w:num w:numId="57">
    <w:abstractNumId w:val="3"/>
  </w:num>
  <w:num w:numId="58">
    <w:abstractNumId w:val="47"/>
  </w:num>
  <w:num w:numId="59">
    <w:abstractNumId w:val="31"/>
  </w:num>
  <w:num w:numId="6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33538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C4D0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1219D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f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15</Pages>
  <Words>5384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2015-04-02T11:12:00Z</dcterms:created>
  <dcterms:modified xsi:type="dcterms:W3CDTF">2015-04-02T11:31:00Z</dcterms:modified>
</cp:coreProperties>
</file>