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Default="003C4D02" w:rsidP="00683CAC">
      <w:pPr>
        <w:rPr>
          <w:b/>
          <w:caps/>
          <w:sz w:val="24"/>
          <w:szCs w:val="24"/>
        </w:rPr>
      </w:pPr>
      <w:bookmarkStart w:id="0" w:name="_Toc410652468"/>
      <w:bookmarkStart w:id="1" w:name="_Toc413950192"/>
      <w:bookmarkStart w:id="2" w:name="_GoBack"/>
      <w:bookmarkEnd w:id="2"/>
      <w:r w:rsidRPr="00575E3B">
        <w:rPr>
          <w:b/>
          <w:caps/>
          <w:sz w:val="24"/>
          <w:szCs w:val="24"/>
        </w:rPr>
        <w:t>Vzor podmínek použití podpory</w:t>
      </w:r>
      <w:r w:rsidR="009F7078" w:rsidRPr="00575E3B">
        <w:rPr>
          <w:b/>
          <w:caps/>
          <w:sz w:val="24"/>
          <w:szCs w:val="24"/>
        </w:rPr>
        <w:t xml:space="preserve"> pro </w:t>
      </w:r>
      <w:r w:rsidR="0039053A" w:rsidRPr="00575E3B">
        <w:rPr>
          <w:b/>
          <w:caps/>
          <w:sz w:val="24"/>
          <w:szCs w:val="24"/>
        </w:rPr>
        <w:t>projekty</w:t>
      </w:r>
      <w:r w:rsidRPr="00575E3B">
        <w:rPr>
          <w:b/>
          <w:caps/>
          <w:sz w:val="24"/>
          <w:szCs w:val="24"/>
        </w:rPr>
        <w:t>, kdy příjemcem je OSS a nejedná se o MPSV</w:t>
      </w:r>
      <w:bookmarkEnd w:id="0"/>
      <w:bookmarkEnd w:id="1"/>
    </w:p>
    <w:p w:rsidR="00575E3B" w:rsidRPr="009172A2" w:rsidRDefault="00575E3B" w:rsidP="00575E3B">
      <w:pPr>
        <w:rPr>
          <w:rFonts w:ascii="Arial" w:hAnsi="Arial" w:cs="Arial"/>
          <w:highlight w:val="lightGray"/>
        </w:rPr>
      </w:pPr>
      <w:r w:rsidRPr="00B11E02">
        <w:t>Podmínky použití podpory z Operačního programu Zaměstnanost (dále jen „Podmínky“)</w:t>
      </w:r>
    </w:p>
    <w:p w:rsidR="00575E3B" w:rsidRPr="009172A2" w:rsidRDefault="00575E3B" w:rsidP="00575E3B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:rsidR="00575E3B" w:rsidRPr="009172A2" w:rsidRDefault="00575E3B" w:rsidP="00575E3B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:rsidR="00575E3B" w:rsidRPr="009172A2" w:rsidRDefault="00575E3B" w:rsidP="00575E3B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:rsidR="00575E3B" w:rsidRPr="009172A2" w:rsidRDefault="00575E3B" w:rsidP="00575E3B">
      <w:pPr>
        <w:rPr>
          <w:rFonts w:ascii="Arial" w:hAnsi="Arial"/>
          <w:b/>
          <w:bCs/>
          <w:smallCaps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:rsidR="00575E3B" w:rsidRPr="009172A2" w:rsidRDefault="00575E3B" w:rsidP="00575E3B">
      <w:pPr>
        <w:rPr>
          <w:rFonts w:ascii="Arial" w:hAnsi="Arial" w:cs="Arial"/>
        </w:rPr>
      </w:pPr>
      <w:r w:rsidRPr="009172A2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 registrační číslo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], prioritní osa OPZ: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  (dále jen „projekt“) takto:</w:t>
      </w:r>
    </w:p>
    <w:p w:rsidR="00575E3B" w:rsidRPr="009172A2" w:rsidRDefault="00575E3B" w:rsidP="00575E3B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 - Obecné vymezení</w:t>
      </w:r>
    </w:p>
    <w:p w:rsidR="00575E3B" w:rsidRPr="009172A2" w:rsidRDefault="00575E3B" w:rsidP="00575E3B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Specifikace příjemce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název</w:t>
      </w:r>
      <w:r w:rsidRPr="009172A2">
        <w:rPr>
          <w:rFonts w:ascii="Arial" w:hAnsi="Arial" w:cs="Arial"/>
        </w:rPr>
        <w:t>]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adresa sídla</w:t>
      </w:r>
      <w:r w:rsidRPr="009172A2">
        <w:rPr>
          <w:rFonts w:ascii="Arial" w:hAnsi="Arial" w:cs="Arial"/>
        </w:rPr>
        <w:t>]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Statutární orgán: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IČ: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575E3B" w:rsidRPr="009172A2" w:rsidRDefault="00575E3B" w:rsidP="00575E3B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Výše prostředků na realizaci projektu</w:t>
      </w:r>
    </w:p>
    <w:p w:rsidR="00575E3B" w:rsidRPr="009172A2" w:rsidRDefault="00575E3B" w:rsidP="00575E3B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9172A2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575E3B" w:rsidRPr="009172A2" w:rsidTr="00844D10">
        <w:trPr>
          <w:tblHeader/>
        </w:trPr>
        <w:tc>
          <w:tcPr>
            <w:tcW w:w="4680" w:type="dxa"/>
            <w:vAlign w:val="center"/>
          </w:tcPr>
          <w:p w:rsidR="00575E3B" w:rsidRPr="00687FBA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575E3B" w:rsidRPr="00687FBA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Částka</w:t>
            </w:r>
          </w:p>
          <w:p w:rsidR="00575E3B" w:rsidRPr="00687FBA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575E3B" w:rsidRPr="00687FBA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Podíl na celkovém rozpočtu</w:t>
            </w:r>
          </w:p>
          <w:p w:rsidR="00575E3B" w:rsidRPr="00687FBA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(v %)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  <w:rPr>
                <w:snapToGrid w:val="0"/>
              </w:rPr>
            </w:pPr>
            <w:r w:rsidRPr="009172A2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[...]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052027" w:rsidRDefault="00575E3B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100 %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575E3B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 Evropského sociálního fondu, tj. z prostředků poskytnutých ze státního rozpočtu na předfinancování výdajů, které mají být kryty prostředky z  Národního fondu (§ 44 odst. 2 písm. e) rozpočtových pravidel);</w:t>
            </w:r>
            <w:r w:rsidRPr="009172A2">
              <w:t xml:space="preserve">  </w:t>
            </w:r>
          </w:p>
          <w:p w:rsidR="00575E3B" w:rsidRPr="009172A2" w:rsidRDefault="00575E3B" w:rsidP="00575E3B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 Iniciativy na podporu zaměstnanosti mladých lidí, tj. z prostředků poskytnutých ze státního rozpočtu na předfinancování výdajů, které mají být kryty prostředky z  Národního fondu (§ 44 odst. 2 písm. e) rozpočtových pravidel);</w:t>
            </w:r>
            <w:r w:rsidRPr="009172A2">
              <w:t xml:space="preserve">  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  <w:p w:rsidR="00575E3B" w:rsidRPr="009172A2" w:rsidRDefault="00575E3B" w:rsidP="00844D10">
            <w:pPr>
              <w:pStyle w:val="Tabulkatext"/>
              <w:spacing w:before="0" w:after="0"/>
            </w:pPr>
          </w:p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  <w:p w:rsidR="00575E3B" w:rsidRPr="009172A2" w:rsidRDefault="00575E3B" w:rsidP="00844D10">
            <w:pPr>
              <w:pStyle w:val="Tabulkatext"/>
              <w:spacing w:before="0" w:after="0"/>
            </w:pPr>
          </w:p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575E3B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 xml:space="preserve">z toho státní rozpočet, tj. prostředky ze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575E3B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C55CF5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C55CF5" w:rsidRDefault="00575E3B" w:rsidP="00575E3B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575E3B" w:rsidRPr="009172A2" w:rsidTr="00844D10">
        <w:tc>
          <w:tcPr>
            <w:tcW w:w="4680" w:type="dxa"/>
            <w:vAlign w:val="center"/>
          </w:tcPr>
          <w:p w:rsidR="00575E3B" w:rsidRPr="009172A2" w:rsidRDefault="00575E3B" w:rsidP="00575E3B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575E3B" w:rsidRPr="009172A2" w:rsidRDefault="00575E3B" w:rsidP="00844D10">
            <w:pPr>
              <w:pStyle w:val="Tabulkatext"/>
              <w:spacing w:before="0" w:after="0"/>
            </w:pPr>
            <w:r w:rsidRPr="009172A2">
              <w:t>-</w:t>
            </w:r>
          </w:p>
        </w:tc>
      </w:tr>
    </w:tbl>
    <w:p w:rsidR="00575E3B" w:rsidRPr="009172A2" w:rsidRDefault="00575E3B" w:rsidP="00575E3B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lastRenderedPageBreak/>
        <w:t xml:space="preserve">Podpora je poskytována na způsobilé výdaje projektu, které nejsou či nebudou kryty z příjmů projektu připadajících na způsobilé výdaje. </w:t>
      </w:r>
    </w:p>
    <w:p w:rsidR="00575E3B" w:rsidRPr="009172A2" w:rsidRDefault="00575E3B" w:rsidP="00575E3B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575E3B" w:rsidRPr="009172A2" w:rsidRDefault="00575E3B" w:rsidP="00575E3B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Skutečná výše podpory, která bude z OPZ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uvedenou v </w:t>
      </w:r>
      <w:r>
        <w:rPr>
          <w:sz w:val="22"/>
          <w:szCs w:val="22"/>
        </w:rPr>
        <w:t>bodě</w:t>
      </w:r>
      <w:r w:rsidRPr="009172A2">
        <w:rPr>
          <w:sz w:val="22"/>
          <w:szCs w:val="22"/>
        </w:rPr>
        <w:t xml:space="preserve"> 2.1 tohoto článku smlouvy. </w:t>
      </w:r>
    </w:p>
    <w:p w:rsidR="00575E3B" w:rsidRPr="009172A2" w:rsidRDefault="00575E3B" w:rsidP="00575E3B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Režim financování projektu: ex-post.</w:t>
      </w:r>
    </w:p>
    <w:p w:rsidR="00575E3B" w:rsidRPr="009172A2" w:rsidRDefault="00575E3B" w:rsidP="00575E3B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Účel podpory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 rámci realizace projektu identifikovaného názvem a registračním číslem v úvodní části těchto Podmínek je účelem podpory: […]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575E3B" w:rsidRPr="009172A2" w:rsidRDefault="00575E3B" w:rsidP="00575E3B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Lhůta, v níž má být dosaženo účelu</w:t>
      </w:r>
    </w:p>
    <w:p w:rsidR="00575E3B" w:rsidRPr="009172A2" w:rsidRDefault="00575E3B" w:rsidP="00575E3B">
      <w:r w:rsidRPr="009172A2">
        <w:t xml:space="preserve">Účelu podpory musí být dosaženo ve lhůtě: </w:t>
      </w:r>
    </w:p>
    <w:p w:rsidR="00575E3B" w:rsidRPr="009172A2" w:rsidRDefault="00575E3B" w:rsidP="00575E3B">
      <w:pPr>
        <w:pStyle w:val="Odrky112"/>
        <w:numPr>
          <w:ilvl w:val="0"/>
          <w:numId w:val="6"/>
        </w:numPr>
      </w:pPr>
      <w:r w:rsidRPr="009172A2">
        <w:t>datum zahájení realizace projektu: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575E3B" w:rsidRPr="009172A2" w:rsidRDefault="00575E3B" w:rsidP="00575E3B">
      <w:pPr>
        <w:pStyle w:val="Odrky112"/>
        <w:numPr>
          <w:ilvl w:val="0"/>
          <w:numId w:val="6"/>
        </w:numPr>
      </w:pPr>
      <w:r w:rsidRPr="009172A2">
        <w:t>datum ukončení realizace projektu nejpozději do: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575E3B" w:rsidRPr="009172A2" w:rsidRDefault="00575E3B" w:rsidP="00575E3B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Vzájemná komunikace MPSV a příjemce</w:t>
      </w:r>
    </w:p>
    <w:p w:rsidR="00575E3B" w:rsidRDefault="00575E3B" w:rsidP="00575E3B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a MPSV budou v případě doručování písemností, které musí být opatřeny podpisem osoby oprávněné za daný subjekt jednat, přednostně používat informační systém MS2014+. Příjemce je povinen zajistit, aby se seznámil se všemi zprávami, které mu budou od MPSV doručeny prostřednictvím MS2014+. Přijetím těchto Podmínek příjemce vyjadřuje souhlas s přednostním doručováním písemností prostřednictvím MS2014+.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:rsidR="00575E3B" w:rsidRPr="009172A2" w:rsidRDefault="00575E3B" w:rsidP="00575E3B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II – Obecné povinnosti příjemce podpory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Užití podpory 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Použití podpory je upraveno nejen těmito Podmínkami a právními předpisy ČR a EU, ale rovněž pravidly, která nemají povahu právních předpisů a jsou vydávána MPSV ve formě dokumentů:</w:t>
      </w:r>
    </w:p>
    <w:p w:rsidR="00575E3B" w:rsidRPr="009172A2" w:rsidRDefault="00575E3B" w:rsidP="00575E3B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 w:rsidRPr="009172A2">
        <w:rPr>
          <w:sz w:val="22"/>
          <w:szCs w:val="22"/>
        </w:rPr>
        <w:t xml:space="preserve">Obecná část pravidel pro žadatele a příjemce v rámci OPZ </w:t>
      </w:r>
    </w:p>
    <w:p w:rsidR="00575E3B" w:rsidRPr="009172A2" w:rsidRDefault="00575E3B" w:rsidP="00575E3B">
      <w:pPr>
        <w:pStyle w:val="slovanseznam"/>
        <w:numPr>
          <w:ilvl w:val="0"/>
          <w:numId w:val="19"/>
        </w:numPr>
        <w:tabs>
          <w:tab w:val="num" w:pos="1478"/>
        </w:tabs>
        <w:rPr>
          <w:sz w:val="22"/>
          <w:szCs w:val="22"/>
        </w:rPr>
      </w:pPr>
      <w:r w:rsidRPr="009172A2">
        <w:rPr>
          <w:sz w:val="22"/>
          <w:szCs w:val="22"/>
        </w:rPr>
        <w:t>[</w:t>
      </w:r>
      <w:r w:rsidRPr="009172A2">
        <w:rPr>
          <w:sz w:val="22"/>
          <w:szCs w:val="22"/>
          <w:highlight w:val="lightGray"/>
        </w:rPr>
        <w:t>…</w:t>
      </w:r>
      <w:r w:rsidRPr="009172A2">
        <w:rPr>
          <w:sz w:val="22"/>
          <w:szCs w:val="22"/>
        </w:rPr>
        <w:t>]</w:t>
      </w:r>
      <w:r w:rsidRPr="009172A2">
        <w:rPr>
          <w:rStyle w:val="Znakapoznpodarou"/>
          <w:rFonts w:eastAsiaTheme="majorEastAsia"/>
          <w:sz w:val="22"/>
          <w:szCs w:val="22"/>
        </w:rPr>
        <w:footnoteReference w:id="1"/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ind w:left="708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Dokumenty uvedené v odrážkách jsou uveřejněny na webovém portálu </w:t>
      </w:r>
      <w:hyperlink r:id="rId8" w:history="1">
        <w:r w:rsidRPr="009172A2">
          <w:rPr>
            <w:rStyle w:val="Hypertextovodkaz"/>
            <w:sz w:val="22"/>
            <w:szCs w:val="22"/>
          </w:rPr>
          <w:t>www.esfcr.cz</w:t>
        </w:r>
      </w:hyperlink>
      <w:r w:rsidRPr="009172A2">
        <w:rPr>
          <w:sz w:val="22"/>
          <w:szCs w:val="22"/>
        </w:rPr>
        <w:t xml:space="preserve"> provozovaném MPSV. Dále v textu těchto Podmínek je obsah těchto dokumentů označen souhrnně také jako „pravidla OPZ“. Pravidla OPZ jsou pro příjemce závazná. Závaznou verzí dokumentů uvedených v odrážkách je verze platná ke dni uskutečnění úkonu souvisejícího s realizací projektu, v případě zadávání zakázek se aplikuje verze pravidel platná </w:t>
      </w:r>
      <w:r w:rsidRPr="009172A2">
        <w:rPr>
          <w:iCs/>
          <w:sz w:val="22"/>
          <w:szCs w:val="22"/>
        </w:rPr>
        <w:t>v den zahájení zadávání zakázky</w:t>
      </w:r>
      <w:r w:rsidRPr="009172A2">
        <w:rPr>
          <w:sz w:val="22"/>
          <w:szCs w:val="22"/>
        </w:rPr>
        <w:t>. Změny či doplnění pravidel OPZ relevantních pro příjemce provádí MPSV formou revize dokumentů v odrážkách a uvědomí o nich příjemce bez zbytečného odkladu elektronickou formou prostřednictvím informačního systému MS2014+. V případě rozporu obsahu těchto Podmínek a obsahu dokumentů v odrážkách má přednost obsah těchto Podmínek.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ind w:left="348" w:firstLine="360"/>
        <w:contextualSpacing/>
        <w:textAlignment w:val="baseline"/>
        <w:rPr>
          <w:sz w:val="22"/>
          <w:szCs w:val="22"/>
        </w:rPr>
      </w:pP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Splnění účelu a realizace projektu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je povinen splnit účel podpory uvedený v části I. bodě 3 těchto Podmínek. 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je povinen při realizaci projektu dodržet údaje a skutečnosti, které jsou uvedeny v Informaci o projektu, která je přílohou č. 1 těchto Podmínek, ve znění případných změn, ke kterým je příjemce oprávněn dle pravidel OPZ bez souhlasu a MPSV, anebo ve znění změn, které MPSV dle pravidel OPZ schválilo.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Způsobilé výdaje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Udržitelnost projektu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oblasti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Vedení účetnictví 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bodu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vedeny s jednoznačnou vazbou na projekt.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Zakázky 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Při zadávání zakázek v rámci realizace projektu je příjemce povinen postupovat v souladu s pravidly OPZ.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lastRenderedPageBreak/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Plnění politik Evropské unie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Kontrola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MPSV, územní finanční orgány, Ministerstvo financí, Nejvyšší kontrolní úřad, Evropská komise a Evropský účetní dvůr, případně další orgány oprávněné k výkonu kontroly.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Informační a komunikační opatření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je povinen provádět informační a komunikační opatření projektu v souladu s pravidly OPZ.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je povinen zajistit nápravu nedostatku týkající se provádění informačních a komunikačních opatření projektu ve lhůtě a způsobem specifikovaným ve výzvě k provedení této nápravy, kterou příjemci adresuje MPSV. 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Poskytování údajů o realizaci projektu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podpory je povinen na základě žádosti MPSV</w:t>
      </w:r>
      <w:r>
        <w:rPr>
          <w:rFonts w:ascii="Arial" w:hAnsi="Arial" w:cs="Arial"/>
        </w:rPr>
        <w:t xml:space="preserve"> </w:t>
      </w:r>
      <w:r w:rsidRPr="009172A2">
        <w:rPr>
          <w:rFonts w:ascii="Arial" w:hAnsi="Arial" w:cs="Arial"/>
        </w:rPr>
        <w:t>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Oznamovací povinnost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je povinen MPSV neprodleně informovat o změnách svého majetkoprávního postavení, jako je např. přeměna společnosti, vstup do likvidace, úpadek apod.</w:t>
      </w:r>
    </w:p>
    <w:p w:rsidR="00575E3B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je dále povinen dodržet pravidla OPZ upravující oznamování změn týkajících se projektu.</w:t>
      </w:r>
    </w:p>
    <w:p w:rsidR="00575E3B" w:rsidRPr="009172A2" w:rsidRDefault="00575E3B" w:rsidP="00A470DC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Zákaz čerpání jiných podpor</w:t>
      </w:r>
    </w:p>
    <w:p w:rsidR="00575E3B" w:rsidRPr="009172A2" w:rsidRDefault="00575E3B" w:rsidP="00A470DC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</w:t>
      </w:r>
      <w:r>
        <w:rPr>
          <w:rFonts w:ascii="Arial" w:hAnsi="Arial" w:cs="Arial"/>
        </w:rPr>
        <w:t>bodě</w:t>
      </w:r>
      <w:r w:rsidRPr="009172A2">
        <w:rPr>
          <w:rFonts w:ascii="Arial" w:hAnsi="Arial" w:cs="Arial"/>
        </w:rPr>
        <w:t xml:space="preserve">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575E3B" w:rsidRPr="009172A2" w:rsidRDefault="00575E3B" w:rsidP="00A470DC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Vypořádání projektu</w:t>
      </w:r>
    </w:p>
    <w:p w:rsidR="00575E3B" w:rsidRPr="009172A2" w:rsidRDefault="00575E3B" w:rsidP="00A470DC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podpory je povinen podporu finančně vypořádat v souladu s rozpočtovými pravidly a vyhláškou č. 52/2008 Sb., kterou se stanoví zásady a termíny finančního vypořádání se státním rozpočtem, státními finančními aktivy nebo Národním fondem</w:t>
      </w:r>
      <w:r w:rsidRPr="009172A2">
        <w:rPr>
          <w:rFonts w:ascii="Arial" w:hAnsi="Arial" w:cs="Arial"/>
          <w:vertAlign w:val="superscript"/>
        </w:rPr>
        <w:footnoteReference w:id="2"/>
      </w:r>
      <w:r w:rsidRPr="009172A2">
        <w:rPr>
          <w:rFonts w:ascii="Arial" w:hAnsi="Arial" w:cs="Arial"/>
        </w:rPr>
        <w:t>.</w:t>
      </w:r>
    </w:p>
    <w:p w:rsidR="00575E3B" w:rsidRPr="009172A2" w:rsidRDefault="00575E3B" w:rsidP="00A470DC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Uchovávání dokumentů</w:t>
      </w:r>
    </w:p>
    <w:p w:rsidR="00575E3B" w:rsidRPr="009172A2" w:rsidRDefault="00575E3B" w:rsidP="00A470DC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podpory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>11</w:t>
      </w:r>
      <w:r w:rsidRPr="009172A2">
        <w:rPr>
          <w:rFonts w:ascii="Arial" w:hAnsi="Arial" w:cs="Arial"/>
        </w:rPr>
        <w:t xml:space="preserve"> rozpočtových pravidel a pravidly OPZ.</w:t>
      </w: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Péče o majetek 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iCs/>
          <w:sz w:val="22"/>
          <w:szCs w:val="22"/>
        </w:rPr>
        <w:t>Příjemce podpory je povinen po dobu realizace projektu zacházet s majetkem spolufinancovaným z 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9172A2">
        <w:rPr>
          <w:sz w:val="22"/>
          <w:szCs w:val="22"/>
        </w:rPr>
        <w:t>.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Práva duševního vlastnictví</w:t>
      </w:r>
    </w:p>
    <w:p w:rsidR="00575E3B" w:rsidRPr="004E4A7A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</w:rPr>
      </w:pPr>
      <w:r w:rsidRPr="009172A2">
        <w:rPr>
          <w:iCs/>
          <w:sz w:val="22"/>
          <w:szCs w:val="22"/>
        </w:rPr>
        <w:t xml:space="preserve">Příjemce podpory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 podpory, je příjemce podpory povinen ve smlouvě uzavřené s dodavatelem zajistit pro MPSV neomezenou bezplatnou licenci k užití těchto práv včetně možnosti zcela nebo zčásti poskytnout třetí osobě oprávnění tvořící součást licence. 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b/>
          <w:sz w:val="22"/>
          <w:szCs w:val="22"/>
        </w:rPr>
      </w:pPr>
    </w:p>
    <w:p w:rsidR="00575E3B" w:rsidRPr="009172A2" w:rsidRDefault="00575E3B" w:rsidP="00575E3B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Partnerství</w:t>
      </w:r>
      <w:r w:rsidRPr="009172A2">
        <w:rPr>
          <w:bCs/>
          <w:sz w:val="22"/>
          <w:szCs w:val="22"/>
          <w:vertAlign w:val="superscript"/>
        </w:rPr>
        <w:footnoteReference w:id="3"/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je povinen zajistit, aby vztahy mezi příjemcem a jeho partnery, jejichž seznam je součástí Informace o projektu v příloze č. 1 těchto Podmínek, po celou dobu realizace projektu odpovídaly pravidlům OPZ.</w:t>
      </w:r>
    </w:p>
    <w:p w:rsidR="00575E3B" w:rsidRPr="009172A2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podpory odpovídá za splnění všech povinností. Pokud některý z partnerů poruší některou z povinností, odpovídá příjemce podpory podle části IV těchto Podmínek, jakoby tuto povinnost porušil sám.</w:t>
      </w:r>
    </w:p>
    <w:p w:rsidR="00575E3B" w:rsidRDefault="00575E3B" w:rsidP="00575E3B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A470DC" w:rsidRDefault="00A470DC" w:rsidP="00A470DC">
      <w:pPr>
        <w:spacing w:after="0"/>
      </w:pPr>
    </w:p>
    <w:p w:rsidR="00A470DC" w:rsidRPr="00A470DC" w:rsidRDefault="00A470DC" w:rsidP="00A470DC"/>
    <w:p w:rsidR="00575E3B" w:rsidRPr="009172A2" w:rsidRDefault="00575E3B" w:rsidP="00575E3B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III – Specifické povinnosti příjemce podpory týkající se realizace projektu </w:t>
      </w:r>
    </w:p>
    <w:p w:rsidR="00575E3B" w:rsidRPr="009172A2" w:rsidRDefault="00575E3B" w:rsidP="00575E3B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Vazba na výzvu k předkládání žádostí o podporu</w:t>
      </w:r>
    </w:p>
    <w:p w:rsidR="00575E3B" w:rsidRPr="009172A2" w:rsidRDefault="00575E3B" w:rsidP="00575E3B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575E3B" w:rsidRPr="009172A2" w:rsidRDefault="00575E3B" w:rsidP="00575E3B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Cílovými skupina projektu mohou být pouze: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575E3B" w:rsidRPr="009172A2" w:rsidRDefault="00575E3B" w:rsidP="00575E3B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Aktivity projektu musí spadat do vymezení: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lastRenderedPageBreak/>
        <w:t>…</w:t>
      </w:r>
    </w:p>
    <w:p w:rsidR="00575E3B" w:rsidRPr="009172A2" w:rsidRDefault="00575E3B" w:rsidP="00575E3B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Územní vymezení: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rStyle w:val="Znakapoznpodarou"/>
          <w:rFonts w:eastAsiaTheme="majorEastAsia"/>
          <w:sz w:val="22"/>
          <w:szCs w:val="22"/>
        </w:rPr>
        <w:footnoteReference w:id="4"/>
      </w:r>
    </w:p>
    <w:p w:rsidR="00575E3B" w:rsidRPr="009172A2" w:rsidRDefault="00575E3B" w:rsidP="00575E3B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Podmínky monitorování projektu </w:t>
      </w:r>
    </w:p>
    <w:p w:rsidR="00575E3B" w:rsidRPr="009172A2" w:rsidRDefault="00575E3B" w:rsidP="00575E3B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Příjemce podpory je povinen naplnit celkové cílové hodnoty indikátorů uvedených v Informaci o projektu v příloze č. 1 těchto Podmínek; definice indikátorů je obsažena v pravidlech OPZ.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575E3B" w:rsidRPr="009172A2" w:rsidRDefault="00575E3B" w:rsidP="00575E3B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Pro zjištění celkové míry naplnění indikátorů výstupů se sečtou procenta naplnění cílových hodnot uvedených v Informaci o projektu v příloze č. 1 těchto Podmínek u jednotlivých indikátorů výstupů a vydělí se počtem těchto indikátorů. Pokud nebyla vyčerpána celková maximální výše podpory, snižují se cílové hodnoty v Informaci o 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575E3B" w:rsidRPr="009172A2" w:rsidRDefault="00575E3B" w:rsidP="00575E3B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Příjemce podpory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(V případě, že monitorovací období nekončí poslední den kalendářního měsíce, pak platí lhůta 30 dní, resp. 60 dní v případě závěrečné zprávy o realizaci).</w:t>
      </w:r>
      <w:r w:rsidRPr="009172A2">
        <w:rPr>
          <w:rStyle w:val="Znakapoznpodarou"/>
          <w:rFonts w:eastAsiaTheme="majorEastAsia"/>
          <w:sz w:val="22"/>
          <w:szCs w:val="22"/>
        </w:rPr>
        <w:footnoteReference w:id="5"/>
      </w:r>
    </w:p>
    <w:p w:rsidR="00575E3B" w:rsidRPr="009172A2" w:rsidRDefault="00575E3B" w:rsidP="00575E3B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Vymezení monitorovacích období projektu, za které je příjemce povinen předložit zprávu o realizaci projektu: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575E3B" w:rsidRPr="009172A2" w:rsidRDefault="00575E3B" w:rsidP="00575E3B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je povinen předkládat zprávy o realizaci projektu ve formátu, který MPSV pro projekt nastaví v informačním systému MS2014+. </w:t>
      </w:r>
    </w:p>
    <w:p w:rsidR="00575E3B" w:rsidRPr="009172A2" w:rsidRDefault="00575E3B" w:rsidP="00575E3B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Nápravy nedostatků žádostí o změnu projektu, zpráv o realizaci projektu (včetně spolu s nimi předložených žádostí o platbu) a případně další dokumentace vyžádané MPSV je příjemce povinen předkládat v termínech stanovených MPSV.</w:t>
      </w:r>
    </w:p>
    <w:p w:rsidR="00575E3B" w:rsidRPr="009172A2" w:rsidRDefault="00575E3B" w:rsidP="00575E3B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Veřejná podpora a podpora de minimis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Podpora poskytnutá na realizaci projektu nezakládá veřejnou podporu. </w:t>
      </w:r>
    </w:p>
    <w:p w:rsidR="00575E3B" w:rsidRPr="00A470DC" w:rsidRDefault="00575E3B" w:rsidP="00A470DC"/>
    <w:p w:rsidR="00575E3B" w:rsidRPr="009172A2" w:rsidRDefault="00575E3B" w:rsidP="00575E3B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IV - Platební podmínky </w:t>
      </w:r>
    </w:p>
    <w:p w:rsidR="00575E3B" w:rsidRPr="009172A2" w:rsidRDefault="00575E3B" w:rsidP="00575E3B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Žádost o platbu </w:t>
      </w:r>
    </w:p>
    <w:p w:rsidR="00575E3B" w:rsidRPr="009172A2" w:rsidRDefault="00575E3B" w:rsidP="00575E3B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je povinen předkládat MPSV spolu s každou zprávou o realizaci projektu řádně vyplněnou žádost o platbu podloženou příslušnými doklady dle pravidel OPZ. </w:t>
      </w:r>
    </w:p>
    <w:p w:rsidR="00575E3B" w:rsidRPr="009172A2" w:rsidRDefault="00575E3B" w:rsidP="00575E3B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podpory je povinen předkládat žádosti o platbu ve formátu, který MPSV pro projekt nastaví v informačním systému MS2014+. </w:t>
      </w:r>
    </w:p>
    <w:p w:rsidR="00575E3B" w:rsidRPr="009172A2" w:rsidRDefault="00575E3B" w:rsidP="00575E3B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Finanční toky</w:t>
      </w:r>
    </w:p>
    <w:p w:rsidR="00575E3B" w:rsidRPr="009172A2" w:rsidRDefault="00575E3B" w:rsidP="00575E3B">
      <w:pPr>
        <w:pStyle w:val="odstavec1rovn"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1 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:rsidR="00575E3B" w:rsidRPr="009172A2" w:rsidRDefault="00575E3B" w:rsidP="00575E3B">
      <w:pPr>
        <w:pStyle w:val="odstavec1rovn"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2 </w:t>
      </w:r>
    </w:p>
    <w:p w:rsidR="00575E3B" w:rsidRPr="009172A2" w:rsidRDefault="00575E3B" w:rsidP="00575E3B">
      <w:pPr>
        <w:pStyle w:val="slovanseznam"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Na první rok realizace projektu, tj. rok …..  budou MPSV příjemci podpory převedeny prostředky pomocí rozpočtového opatření v celkové výši …….. Kč, z toho prostředky ve výši …….. Kč jsou určeny na pokrytí ESF podílu, prostředky ve výši ……. Kč jsou určeny na pokrytí národního spolufinancování.  </w:t>
      </w:r>
    </w:p>
    <w:p w:rsidR="00575E3B" w:rsidRPr="009172A2" w:rsidRDefault="00575E3B" w:rsidP="00575E3B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 Sb., o rozpočtových pravidlech.</w:t>
      </w:r>
    </w:p>
    <w:p w:rsidR="00575E3B" w:rsidRPr="009172A2" w:rsidRDefault="00575E3B" w:rsidP="00575E3B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Nepřímé náklady</w:t>
      </w:r>
    </w:p>
    <w:p w:rsidR="00575E3B" w:rsidRPr="009172A2" w:rsidRDefault="00575E3B" w:rsidP="00575E3B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Procento nepřímých nákladů platné pro projekt: […] %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575E3B" w:rsidRPr="009172A2" w:rsidRDefault="00575E3B" w:rsidP="00575E3B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V - Sankce </w:t>
      </w:r>
    </w:p>
    <w:p w:rsidR="00575E3B" w:rsidRPr="009172A2" w:rsidRDefault="00575E3B" w:rsidP="00575E3B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Pozastavení financování</w:t>
      </w:r>
    </w:p>
    <w:p w:rsidR="00575E3B" w:rsidRPr="004E4A7A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</w:rPr>
      </w:pPr>
      <w:r w:rsidRPr="009172A2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575E3B" w:rsidRPr="009172A2" w:rsidRDefault="00575E3B" w:rsidP="00575E3B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Předčasné ukončení realizace z důvodu nedosažení milníků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do termínu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.. nebudou způsobilé výdaje projektu schválené na základě předložených žádostí o platbu dosahovat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Kč, nebo pokud plnění indikátoru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</w:t>
      </w:r>
      <w:r w:rsidRPr="0053445E">
        <w:rPr>
          <w:i/>
          <w:sz w:val="22"/>
          <w:szCs w:val="22"/>
        </w:rPr>
        <w:t>(kód, název)</w:t>
      </w:r>
      <w:r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>
        <w:rPr>
          <w:rStyle w:val="Znakapoznpodarou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>
        <w:rPr>
          <w:sz w:val="22"/>
          <w:szCs w:val="22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575E3B" w:rsidRPr="009172A2" w:rsidRDefault="00575E3B" w:rsidP="00575E3B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Diferenciace odvodu za porušení rozpočtové kázně dle závažnosti porušení podmínek</w:t>
      </w: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 porušení podmínek týkajících se účelu a udržitelnosti (uvedených v části II bodě 2 a 4) bude vyměřen odvod za porušení rozpočtové kázně </w:t>
      </w:r>
      <w:r w:rsidRPr="002118E2">
        <w:rPr>
          <w:sz w:val="22"/>
          <w:szCs w:val="22"/>
        </w:rPr>
        <w:t xml:space="preserve">podle </w:t>
      </w:r>
      <w:r w:rsidRPr="005471A6">
        <w:rPr>
          <w:sz w:val="22"/>
          <w:szCs w:val="22"/>
        </w:rPr>
        <w:t>§ 44a odst</w:t>
      </w:r>
      <w:r w:rsidRPr="002118E2">
        <w:rPr>
          <w:sz w:val="22"/>
          <w:szCs w:val="22"/>
        </w:rPr>
        <w:t>.</w:t>
      </w:r>
      <w:r w:rsidRPr="009172A2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>) rozpočtových pravidel.</w:t>
      </w: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 xml:space="preserve">) rozpočtových pravidel ve výši nezpůsobilých výdajů. </w:t>
      </w: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>dojde k porušení povinností předložit MPSV zprávu o realizaci projektu (včetně žádosti o platbu), předložit MPSV vyžádanou informaci ad hoc (uvedených v části II bodě 5.2 a bodě 10, v části III v bodech 2.2 až 2.4) a prodlení bude trvat 7 kalendářních dní a více, přičemž za určující se bere termín vyplývající z těchto Podmínek ve znění případného vyjádření MPSV o změně termínu, které je k dispozici v MS2014+; (netýká se situací, kdy příjemce nemohl z důvodu prokazatelně doložitelných z obsahu MS2014+ zprávu o realizaci projektu nebo žádost o platbu předložit);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>dojde k porušení povinností týkajících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>dojde k porušení povinností týkající se vytvoření podmínek pro provedení kontroly (uvedených v části II bodě 8);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>dojde k porušení povinnosti týkající se práv duševního vlastnictví (uvedených v části II bodě 16);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>dojde k porušení povinností týkajících se partnerství (uvedených v části II bodech 17.1 a 17.3);</w:t>
      </w:r>
    </w:p>
    <w:p w:rsidR="00575E3B" w:rsidRPr="009172A2" w:rsidRDefault="00575E3B" w:rsidP="00575E3B">
      <w:pPr>
        <w:pStyle w:val="Odrky311"/>
        <w:numPr>
          <w:ilvl w:val="2"/>
          <w:numId w:val="6"/>
        </w:numPr>
      </w:pPr>
      <w:r w:rsidRPr="009172A2">
        <w:t xml:space="preserve">dojde k porušení povinnosti uchovávat dokumenty (uvedených v části II bodě 14) a není možné stanovit výši podpory, ke které se dokument váže; </w:t>
      </w: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0,5 % z celkové částky podpory.</w:t>
      </w:r>
    </w:p>
    <w:p w:rsidR="00575E3B" w:rsidRPr="001F7339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dojde k porušení povinností týkajících se zadávání zakázek (uvedených v části II bodě 6.1), jež je dle pravidel OPZ považováno za porušení rozpočtové kázně, 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stanovené za porušení dané povinnosti v tabulce sankcí pro oblast zadávání obsažené v Obecné části pravidel pro žadatele a příjemce v rámci OPZ.</w:t>
      </w: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dojde k porušení povinností týkajících se provádění informačních a 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575E3B" w:rsidRDefault="00575E3B" w:rsidP="00575E3B">
      <w:pPr>
        <w:pStyle w:val="slovanseznam"/>
        <w:numPr>
          <w:ilvl w:val="1"/>
          <w:numId w:val="31"/>
        </w:numPr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75E3B" w:rsidRPr="009172A2" w:rsidTr="00A470DC">
        <w:tc>
          <w:tcPr>
            <w:tcW w:w="4536" w:type="dxa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</w:pPr>
            <w:r w:rsidRPr="009172A2">
              <w:lastRenderedPageBreak/>
              <w:t>Celková míra naplnění indikátorů výstupů uvedených v Informaci o projektu příloze č. 1</w:t>
            </w:r>
          </w:p>
        </w:tc>
        <w:tc>
          <w:tcPr>
            <w:tcW w:w="3969" w:type="dxa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575E3B" w:rsidRPr="009172A2" w:rsidTr="00A470DC">
        <w:tc>
          <w:tcPr>
            <w:tcW w:w="4536" w:type="dxa"/>
            <w:vAlign w:val="center"/>
          </w:tcPr>
          <w:p w:rsidR="00575E3B" w:rsidRPr="00B4739E" w:rsidRDefault="00575E3B" w:rsidP="00A470DC">
            <w:pPr>
              <w:pStyle w:val="Tabulkatext12"/>
              <w:keepNext/>
              <w:spacing w:before="0" w:after="0"/>
            </w:pPr>
            <w:r w:rsidRPr="00B4739E">
              <w:t>méně než 85 % až 70 %</w:t>
            </w:r>
          </w:p>
        </w:tc>
        <w:tc>
          <w:tcPr>
            <w:tcW w:w="3969" w:type="dxa"/>
          </w:tcPr>
          <w:p w:rsidR="00575E3B" w:rsidRPr="00B4739E" w:rsidRDefault="00575E3B" w:rsidP="00A470DC">
            <w:pPr>
              <w:pStyle w:val="Tabulkatext12"/>
              <w:keepNext/>
              <w:spacing w:before="0" w:after="0"/>
            </w:pPr>
            <w:r w:rsidRPr="00B4739E">
              <w:t>15 %</w:t>
            </w:r>
          </w:p>
        </w:tc>
      </w:tr>
      <w:tr w:rsidR="00575E3B" w:rsidRPr="009172A2" w:rsidTr="00A470DC">
        <w:tc>
          <w:tcPr>
            <w:tcW w:w="4536" w:type="dxa"/>
            <w:vAlign w:val="center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</w:pPr>
            <w:r w:rsidRPr="009172A2">
              <w:t>méně než 70 % až 55 %</w:t>
            </w:r>
          </w:p>
        </w:tc>
        <w:tc>
          <w:tcPr>
            <w:tcW w:w="3969" w:type="dxa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  <w:tr w:rsidR="00575E3B" w:rsidRPr="009172A2" w:rsidTr="00A470DC">
        <w:tc>
          <w:tcPr>
            <w:tcW w:w="4536" w:type="dxa"/>
            <w:vAlign w:val="center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</w:pPr>
            <w:r w:rsidRPr="009172A2">
              <w:t>méně než 55 % až 40 %</w:t>
            </w:r>
          </w:p>
        </w:tc>
        <w:tc>
          <w:tcPr>
            <w:tcW w:w="3969" w:type="dxa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  <w:rPr>
                <w:bCs/>
              </w:rPr>
            </w:pPr>
            <w:r w:rsidRPr="009172A2">
              <w:t>30 %</w:t>
            </w:r>
          </w:p>
        </w:tc>
      </w:tr>
      <w:tr w:rsidR="00575E3B" w:rsidRPr="009172A2" w:rsidTr="00A470DC">
        <w:tc>
          <w:tcPr>
            <w:tcW w:w="4536" w:type="dxa"/>
            <w:vAlign w:val="center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</w:pPr>
            <w:r w:rsidRPr="009172A2">
              <w:t>méně než 40 %</w:t>
            </w:r>
          </w:p>
        </w:tc>
        <w:tc>
          <w:tcPr>
            <w:tcW w:w="3969" w:type="dxa"/>
          </w:tcPr>
          <w:p w:rsidR="00575E3B" w:rsidRPr="009172A2" w:rsidRDefault="00575E3B" w:rsidP="00A470DC">
            <w:pPr>
              <w:pStyle w:val="Tabulkatext12"/>
              <w:keepNext/>
              <w:spacing w:before="0" w:after="0"/>
              <w:rPr>
                <w:bCs/>
              </w:rPr>
            </w:pPr>
            <w:r w:rsidRPr="009172A2">
              <w:t>50 %</w:t>
            </w:r>
          </w:p>
        </w:tc>
      </w:tr>
    </w:tbl>
    <w:p w:rsidR="00575E3B" w:rsidRDefault="00575E3B" w:rsidP="00575E3B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</w:p>
    <w:p w:rsidR="00575E3B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aktuálně platná pravidla OPZ stanoví míru naplnění indikátorů výsledků či výstupů mírněji než tyto Podmínky, uplatní se míra naplnění dle aktuálně platných pravidel, včetně příp. sankcí za nesplnění. </w:t>
      </w:r>
    </w:p>
    <w:p w:rsidR="00575E3B" w:rsidRPr="001F7339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575E3B" w:rsidRPr="009172A2" w:rsidRDefault="00575E3B" w:rsidP="00575E3B">
      <w:pPr>
        <w:pStyle w:val="slovanseznam"/>
        <w:numPr>
          <w:ilvl w:val="1"/>
          <w:numId w:val="31"/>
        </w:numPr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575E3B" w:rsidRPr="009172A2" w:rsidTr="00844D10">
        <w:tc>
          <w:tcPr>
            <w:tcW w:w="4536" w:type="dxa"/>
          </w:tcPr>
          <w:p w:rsidR="00575E3B" w:rsidRPr="009172A2" w:rsidRDefault="00575E3B" w:rsidP="00844D10">
            <w:pPr>
              <w:pStyle w:val="Tabulkatext12"/>
              <w:spacing w:before="0" w:after="0"/>
            </w:pPr>
            <w:r w:rsidRPr="009172A2">
              <w:t>Celková míra naplnění indikátorů výsledků uvedených Informaci o projektu v příloze č. 1</w:t>
            </w:r>
          </w:p>
        </w:tc>
        <w:tc>
          <w:tcPr>
            <w:tcW w:w="3897" w:type="dxa"/>
          </w:tcPr>
          <w:p w:rsidR="00575E3B" w:rsidRPr="009172A2" w:rsidRDefault="00575E3B" w:rsidP="00844D10">
            <w:pPr>
              <w:pStyle w:val="Tabulkatext12"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575E3B" w:rsidRPr="009172A2" w:rsidTr="00844D10">
        <w:tc>
          <w:tcPr>
            <w:tcW w:w="4536" w:type="dxa"/>
          </w:tcPr>
          <w:p w:rsidR="00575E3B" w:rsidRPr="009172A2" w:rsidRDefault="00575E3B" w:rsidP="00844D10">
            <w:pPr>
              <w:pStyle w:val="Tabulkatext12"/>
              <w:spacing w:before="0" w:after="0"/>
            </w:pPr>
            <w:r w:rsidRPr="009172A2">
              <w:t>méně než 75 % až  50%</w:t>
            </w:r>
          </w:p>
        </w:tc>
        <w:tc>
          <w:tcPr>
            <w:tcW w:w="3897" w:type="dxa"/>
          </w:tcPr>
          <w:p w:rsidR="00575E3B" w:rsidRPr="009172A2" w:rsidRDefault="00575E3B" w:rsidP="00844D10">
            <w:pPr>
              <w:pStyle w:val="Tabulkatext12"/>
              <w:spacing w:before="0" w:after="0"/>
            </w:pPr>
            <w:r w:rsidRPr="009172A2">
              <w:t>10 %</w:t>
            </w:r>
          </w:p>
        </w:tc>
      </w:tr>
      <w:tr w:rsidR="00575E3B" w:rsidRPr="009172A2" w:rsidTr="00844D10">
        <w:tc>
          <w:tcPr>
            <w:tcW w:w="4536" w:type="dxa"/>
          </w:tcPr>
          <w:p w:rsidR="00575E3B" w:rsidRPr="009172A2" w:rsidRDefault="00575E3B" w:rsidP="00844D10">
            <w:pPr>
              <w:pStyle w:val="Tabulkatext12"/>
              <w:spacing w:before="0" w:after="0"/>
            </w:pPr>
            <w:r w:rsidRPr="009172A2">
              <w:t xml:space="preserve">méně než 50 % </w:t>
            </w:r>
          </w:p>
        </w:tc>
        <w:tc>
          <w:tcPr>
            <w:tcW w:w="3897" w:type="dxa"/>
          </w:tcPr>
          <w:p w:rsidR="00575E3B" w:rsidRPr="009172A2" w:rsidRDefault="00575E3B" w:rsidP="00844D10">
            <w:pPr>
              <w:pStyle w:val="Tabulkatext12"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</w:tbl>
    <w:p w:rsidR="00575E3B" w:rsidRDefault="00575E3B" w:rsidP="00575E3B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</w:p>
    <w:p w:rsidR="00575E3B" w:rsidRPr="009172A2" w:rsidRDefault="00575E3B" w:rsidP="00575E3B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aktuálně platná pravidla OPZ stanoví míru naplnění indikátorů výsledků či výstupů mírněji než tyto Podmínky, uplatní se míra naplnění dle aktuálně platných pravidel, včetně příp. sankcí za nesplnění. </w:t>
      </w:r>
    </w:p>
    <w:p w:rsidR="00575E3B" w:rsidRPr="009172A2" w:rsidRDefault="00575E3B" w:rsidP="00575E3B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Porušení povinností, jež není porušením rozpočtové kázně</w:t>
      </w:r>
    </w:p>
    <w:p w:rsidR="00575E3B" w:rsidRPr="009172A2" w:rsidRDefault="00575E3B" w:rsidP="00575E3B">
      <w:pPr>
        <w:pStyle w:val="slovanseznam"/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>dojde k porušení povinností předložit MPSV zprávu o realizaci projektu (včetně žádosti o platbu), předložit MPSV vyžádanou informaci ad hoc (uvedených v části II bodě 5.2 a bodě 10, v části III v bodech 2.2 až 2.4) a prodlení bude trvat méně než 7 kalendářních dní, přičemž za určující se bere termín vyplývající z těchto Podmínek ve znění případného vyjádření MPSV o změně termínu, které je k dispozici v MS2014+;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>dojde k porušení povinností předložit MPSV zprávu o realizaci projektu (včetně žádosti o platbu; uvedených v části II bodě 5.2) a prodlení je způsobeno tím, že příjemce nemohl z důvodu prokazatelně doložitelných z obsahu MS2014+ zprávu o realizaci projektu nebo žádost o platbu předložit;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 xml:space="preserve">dojde k porušení povinností týkajících se oznamovací povinnosti (uvedených v části II bodě 11), včetně oznamování nepodstatných změn a v pravidlech OPZ je pro dané pochybení stanoveno, že nezakládá porušení rozpočtové kázně; 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>dojde k porušení povinností týkajících se provádění informačních a komunikačních opatření (uvedených v části II bodě 9), jež dle pravidel OPZ není považováno za porušení rozpočtové kázně,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 xml:space="preserve">bude splněna cílová hodnota indikátorů výstupů uvedených v Informaci o projektu v příloze č. 1 těchto Podmínek z 85 % nebo více, </w:t>
      </w:r>
    </w:p>
    <w:p w:rsidR="00575E3B" w:rsidRPr="009172A2" w:rsidRDefault="00575E3B" w:rsidP="00575E3B">
      <w:pPr>
        <w:pStyle w:val="Odrky2"/>
        <w:numPr>
          <w:ilvl w:val="1"/>
          <w:numId w:val="6"/>
        </w:numPr>
      </w:pPr>
      <w:r w:rsidRPr="009172A2">
        <w:t xml:space="preserve">bude splněna cílová hodnota indikátorů výsledků uvedených v Informaci o projektu v příloze č. 1 těchto Podmínek ze 75 % nebo více, </w:t>
      </w:r>
    </w:p>
    <w:p w:rsidR="00575E3B" w:rsidRDefault="00575E3B" w:rsidP="00575E3B">
      <w:pPr>
        <w:pStyle w:val="Odrky2"/>
        <w:numPr>
          <w:ilvl w:val="1"/>
          <w:numId w:val="6"/>
        </w:numPr>
      </w:pPr>
      <w:r w:rsidRPr="009172A2">
        <w:t>dojde k nedodržení finančního plánu projektu obsaženého v příloze č. 1 těchto Podmínek, příp. upraveného v režimu nepodstatných změn projektu,</w:t>
      </w:r>
    </w:p>
    <w:p w:rsidR="00575E3B" w:rsidRPr="00017811" w:rsidRDefault="00575E3B" w:rsidP="00575E3B">
      <w:pPr>
        <w:pStyle w:val="Odrky2"/>
        <w:numPr>
          <w:ilvl w:val="1"/>
          <w:numId w:val="6"/>
        </w:numPr>
        <w:spacing w:after="0"/>
      </w:pPr>
      <w:r>
        <w:t>dojde k porušení povinností dle části VI těchto Podmínek,</w:t>
      </w:r>
    </w:p>
    <w:p w:rsidR="00575E3B" w:rsidRDefault="00575E3B" w:rsidP="00575E3B">
      <w:pPr>
        <w:pStyle w:val="Odrky311"/>
        <w:tabs>
          <w:tab w:val="clear" w:pos="1191"/>
        </w:tabs>
        <w:spacing w:after="240"/>
        <w:ind w:left="0" w:firstLine="0"/>
      </w:pPr>
      <w:r w:rsidRPr="009172A2">
        <w:t>nejedná se o porušení rozpočtové kázně ve smyslu rozpočtových pravidel.</w:t>
      </w:r>
    </w:p>
    <w:p w:rsidR="00575E3B" w:rsidRPr="00B4739E" w:rsidRDefault="00575E3B" w:rsidP="00575E3B">
      <w:pPr>
        <w:pStyle w:val="Odrky311"/>
        <w:tabs>
          <w:tab w:val="clear" w:pos="1191"/>
        </w:tabs>
        <w:spacing w:after="240"/>
        <w:ind w:left="794" w:firstLine="0"/>
      </w:pPr>
    </w:p>
    <w:p w:rsidR="00575E3B" w:rsidRPr="005C21DB" w:rsidRDefault="00575E3B" w:rsidP="00575E3B">
      <w:pPr>
        <w:shd w:val="clear" w:color="auto" w:fill="F2F2F2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lastRenderedPageBreak/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:rsidR="00575E3B" w:rsidRPr="005C21DB" w:rsidRDefault="00575E3B" w:rsidP="00575E3B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575E3B" w:rsidRPr="000907F7" w:rsidRDefault="00575E3B" w:rsidP="00575E3B">
      <w:pPr>
        <w:pStyle w:val="slovanseznam"/>
        <w:numPr>
          <w:ilvl w:val="1"/>
          <w:numId w:val="63"/>
        </w:numPr>
        <w:spacing w:after="40"/>
        <w:rPr>
          <w:rFonts w:eastAsia="Calibri"/>
        </w:rPr>
      </w:pPr>
      <w:r w:rsidRPr="00185664">
        <w:rPr>
          <w:rFonts w:eastAsia="Calibri"/>
          <w:sz w:val="22"/>
          <w:szCs w:val="22"/>
        </w:rPr>
        <w:t>Poskytovatel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</w:t>
      </w:r>
      <w:r>
        <w:rPr>
          <w:rFonts w:eastAsia="Calibri"/>
          <w:sz w:val="22"/>
          <w:szCs w:val="22"/>
        </w:rPr>
        <w:t>ěmito Podmínkami</w:t>
      </w:r>
      <w:r w:rsidRPr="00185664">
        <w:rPr>
          <w:rFonts w:eastAsia="Calibri"/>
          <w:sz w:val="22"/>
          <w:szCs w:val="22"/>
        </w:rPr>
        <w:t xml:space="preserve">, a to v rozsahu uvedeném v bodě 2 části VI </w:t>
      </w:r>
      <w:r>
        <w:rPr>
          <w:rFonts w:eastAsia="Calibri"/>
          <w:sz w:val="22"/>
          <w:szCs w:val="22"/>
        </w:rPr>
        <w:t>těchto Podmínek</w:t>
      </w:r>
      <w:r w:rsidRPr="00185664">
        <w:rPr>
          <w:rFonts w:eastAsia="Calibri"/>
          <w:sz w:val="22"/>
          <w:szCs w:val="22"/>
        </w:rPr>
        <w:t>.</w:t>
      </w:r>
    </w:p>
    <w:p w:rsidR="00575E3B" w:rsidRPr="000907F7" w:rsidRDefault="00575E3B" w:rsidP="00575E3B">
      <w:pPr>
        <w:pStyle w:val="slovanseznam"/>
        <w:numPr>
          <w:ilvl w:val="1"/>
          <w:numId w:val="63"/>
        </w:numPr>
        <w:spacing w:after="40"/>
        <w:rPr>
          <w:rFonts w:eastAsia="Calibri"/>
        </w:rPr>
      </w:pPr>
      <w:r w:rsidRPr="00185664">
        <w:rPr>
          <w:rFonts w:eastAsia="Calibri"/>
          <w:sz w:val="22"/>
          <w:szCs w:val="22"/>
        </w:rPr>
        <w:t>Poskytovatel je jakožto správce podle § 4 písm. f) zákona č. 101/2000 Sb., o ochraně osobních údajů a o změně některých zákonů, oprávněn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575E3B" w:rsidRPr="005C21DB" w:rsidRDefault="00575E3B" w:rsidP="00575E3B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575E3B" w:rsidRDefault="00575E3B" w:rsidP="00575E3B">
      <w:pPr>
        <w:numPr>
          <w:ilvl w:val="1"/>
          <w:numId w:val="62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podpořené osoby</w:t>
      </w:r>
      <w:r>
        <w:rPr>
          <w:rFonts w:ascii="Arial" w:eastAsia="Calibri" w:hAnsi="Arial" w:cs="Arial"/>
        </w:rPr>
        <w:t xml:space="preserve"> v rozsahu vymezeném v Obecné části pravidel pro žadatele a příjemce podpory z OPZ.</w:t>
      </w:r>
    </w:p>
    <w:p w:rsidR="00575E3B" w:rsidRPr="005C21DB" w:rsidRDefault="00575E3B" w:rsidP="00575E3B">
      <w:pPr>
        <w:numPr>
          <w:ilvl w:val="1"/>
          <w:numId w:val="62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575E3B" w:rsidRPr="005C21DB" w:rsidRDefault="00575E3B" w:rsidP="00575E3B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575E3B" w:rsidRPr="005C21DB" w:rsidRDefault="00575E3B" w:rsidP="00575E3B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zpracovávat a chránit osobní údaje v souladu se zákonem o ochraně osobních údajů a to zejména takto:</w:t>
      </w:r>
    </w:p>
    <w:p w:rsidR="00575E3B" w:rsidRPr="005C21DB" w:rsidRDefault="00575E3B" w:rsidP="00575E3B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; </w:t>
      </w:r>
    </w:p>
    <w:p w:rsidR="00575E3B" w:rsidRPr="005C21DB" w:rsidRDefault="00575E3B" w:rsidP="00575E3B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osobní údaje v elektronické podobě budou zpracovávány v IS ESF 2014+, jehož správcem je M</w:t>
      </w:r>
      <w:r>
        <w:rPr>
          <w:rFonts w:ascii="Arial" w:eastAsia="Calibri" w:hAnsi="Arial" w:cs="Arial"/>
        </w:rPr>
        <w:t>inisterstvo práce a sociálních věcí</w:t>
      </w:r>
      <w:r w:rsidRPr="005C21DB">
        <w:rPr>
          <w:rFonts w:ascii="Arial" w:eastAsia="Calibri" w:hAnsi="Arial" w:cs="Arial"/>
        </w:rPr>
        <w:t>; poskytovatel příjemci za účelem vložení osobních údajů zajistí přístupová hesla do IS ESF 2014+;</w:t>
      </w:r>
    </w:p>
    <w:p w:rsidR="00575E3B" w:rsidRPr="005C21DB" w:rsidRDefault="00575E3B" w:rsidP="00575E3B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přístup ke zpracovávaným osobním údajům umožní příjemce pouze poskytovateli, svým zaměstnancům a orgánům oprávněným provádět kontrolu podle části II bodu 8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>, ledaže je dále upraveno jinak;</w:t>
      </w:r>
    </w:p>
    <w:p w:rsidR="00575E3B" w:rsidRDefault="00575E3B" w:rsidP="00575E3B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575E3B" w:rsidRPr="005C21DB" w:rsidRDefault="00575E3B" w:rsidP="00575E3B">
      <w:pPr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575E3B" w:rsidRDefault="00575E3B" w:rsidP="00575E3B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575E3B" w:rsidRPr="005C21DB" w:rsidRDefault="00575E3B" w:rsidP="00575E3B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575E3B" w:rsidRDefault="00575E3B" w:rsidP="00575E3B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</w:t>
      </w:r>
      <w:r>
        <w:rPr>
          <w:rFonts w:ascii="Arial" w:eastAsia="Calibri" w:hAnsi="Arial" w:cs="Arial"/>
        </w:rPr>
        <w:t>uvádí Obecná část pravidel pro žadatele a příjemce</w:t>
      </w:r>
      <w:r w:rsidRPr="005C21DB">
        <w:rPr>
          <w:rFonts w:ascii="Arial" w:eastAsia="Calibri" w:hAnsi="Arial" w:cs="Arial"/>
        </w:rPr>
        <w:t xml:space="preserve">, vztahují se na jejich zpracování podmínky části </w:t>
      </w:r>
      <w:r w:rsidRPr="0046417E">
        <w:rPr>
          <w:rFonts w:ascii="Arial" w:eastAsia="Calibri" w:hAnsi="Arial" w:cs="Arial"/>
        </w:rPr>
        <w:t>VI</w:t>
      </w:r>
      <w:r w:rsidRPr="005C21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 obdobně. </w:t>
      </w:r>
    </w:p>
    <w:p w:rsidR="00575E3B" w:rsidRPr="005C21DB" w:rsidRDefault="00575E3B" w:rsidP="00575E3B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575E3B" w:rsidRPr="005C21DB" w:rsidRDefault="00575E3B" w:rsidP="00575E3B">
      <w:pPr>
        <w:numPr>
          <w:ilvl w:val="1"/>
          <w:numId w:val="62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Příjemce je povinen uzavřít smlouvu podle § 14 zákona o ochraně osobních údajů s partnerem nebo s dodavatelem, pokud taková osoba má v souvislosti s realizací </w:t>
      </w:r>
      <w:r w:rsidRPr="005C21DB">
        <w:rPr>
          <w:rFonts w:ascii="Arial" w:eastAsia="Calibri" w:hAnsi="Arial" w:cs="Arial"/>
        </w:rPr>
        <w:lastRenderedPageBreak/>
        <w:t>projektu zpracovávat osobní údaje podpořených osob. Stejnou povinnost má partner vůči svému dodavateli.</w:t>
      </w:r>
    </w:p>
    <w:p w:rsidR="00575E3B" w:rsidRDefault="00575E3B" w:rsidP="00575E3B">
      <w:pPr>
        <w:numPr>
          <w:ilvl w:val="1"/>
          <w:numId w:val="62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. </w:t>
      </w:r>
    </w:p>
    <w:p w:rsidR="00575E3B" w:rsidRDefault="00575E3B" w:rsidP="00575E3B">
      <w:pPr>
        <w:spacing w:before="40" w:after="40"/>
        <w:ind w:left="720"/>
        <w:rPr>
          <w:rFonts w:ascii="Arial" w:eastAsia="Calibri" w:hAnsi="Arial" w:cs="Arial"/>
        </w:rPr>
      </w:pPr>
    </w:p>
    <w:p w:rsidR="00575E3B" w:rsidRPr="005C21DB" w:rsidRDefault="00575E3B" w:rsidP="00575E3B">
      <w:pPr>
        <w:spacing w:before="40" w:after="40"/>
        <w:ind w:left="360"/>
        <w:rPr>
          <w:rFonts w:ascii="Arial" w:eastAsia="Calibri" w:hAnsi="Arial" w:cs="Arial"/>
        </w:rPr>
      </w:pPr>
    </w:p>
    <w:p w:rsidR="00575E3B" w:rsidRPr="009172A2" w:rsidRDefault="00575E3B" w:rsidP="00575E3B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</w:t>
      </w:r>
      <w:r w:rsidRPr="009172A2">
        <w:rPr>
          <w:rFonts w:ascii="Arial" w:hAnsi="Arial" w:cs="Arial"/>
          <w:b/>
        </w:rPr>
        <w:t xml:space="preserve"> – Závěrečná ustanovení</w:t>
      </w:r>
    </w:p>
    <w:p w:rsidR="00575E3B" w:rsidRPr="009172A2" w:rsidRDefault="00575E3B" w:rsidP="00575E3B">
      <w:pPr>
        <w:pStyle w:val="slovanseznam"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9172A2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9172A2">
        <w:rPr>
          <w:sz w:val="22"/>
          <w:szCs w:val="22"/>
        </w:rPr>
        <w:t>Obecné části pravidel pro žadatele a příjemce v rámci OPZ</w:t>
      </w:r>
      <w:r w:rsidRPr="009172A2">
        <w:rPr>
          <w:iCs/>
          <w:snapToGrid w:val="0"/>
          <w:sz w:val="22"/>
          <w:szCs w:val="22"/>
        </w:rPr>
        <w:t>.</w:t>
      </w:r>
    </w:p>
    <w:p w:rsidR="00575E3B" w:rsidRPr="009172A2" w:rsidRDefault="00575E3B" w:rsidP="00575E3B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9172A2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:rsidR="00575E3B" w:rsidRPr="009172A2" w:rsidRDefault="00575E3B" w:rsidP="00575E3B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9172A2">
        <w:rPr>
          <w:iCs/>
          <w:snapToGrid w:val="0"/>
          <w:sz w:val="22"/>
          <w:szCs w:val="22"/>
        </w:rPr>
        <w:t>Příjemce podpory je povinen řídit se při realizaci projektu ustanoveními příloh uvedených v </w:t>
      </w:r>
      <w:r>
        <w:rPr>
          <w:iCs/>
          <w:snapToGrid w:val="0"/>
          <w:sz w:val="22"/>
          <w:szCs w:val="22"/>
        </w:rPr>
        <w:t>bodě</w:t>
      </w:r>
      <w:r w:rsidRPr="009172A2">
        <w:rPr>
          <w:iCs/>
          <w:snapToGrid w:val="0"/>
          <w:sz w:val="22"/>
          <w:szCs w:val="22"/>
        </w:rPr>
        <w:t xml:space="preserve"> 4 této části Podmínek a dále dokumenty, které jsou zmíněny v části II bodě 1 těchto Podmínek.</w:t>
      </w:r>
    </w:p>
    <w:p w:rsidR="00575E3B" w:rsidRPr="009172A2" w:rsidRDefault="00575E3B" w:rsidP="00575E3B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9172A2">
        <w:rPr>
          <w:iCs/>
          <w:snapToGrid w:val="0"/>
          <w:sz w:val="22"/>
          <w:szCs w:val="22"/>
        </w:rPr>
        <w:t>Součástí Podmínek jsou tyto přílohy:</w:t>
      </w:r>
    </w:p>
    <w:p w:rsidR="00575E3B" w:rsidRPr="009172A2" w:rsidRDefault="00575E3B" w:rsidP="00575E3B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9172A2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575E3B" w:rsidRPr="009172A2" w:rsidRDefault="00575E3B" w:rsidP="00575E3B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9172A2">
        <w:rPr>
          <w:sz w:val="22"/>
          <w:szCs w:val="22"/>
        </w:rPr>
        <w:t xml:space="preserve">Veškeré změny Podmínek je možné provádět pouze na základě žádosti příjemce podpory.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575E3B" w:rsidRPr="009172A2" w:rsidRDefault="00575E3B" w:rsidP="00575E3B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p w:rsidR="00575E3B" w:rsidRPr="009172A2" w:rsidRDefault="00575E3B" w:rsidP="00575E3B">
      <w:pPr>
        <w:rPr>
          <w:rFonts w:ascii="Arial" w:hAnsi="Arial" w:cs="Arial"/>
        </w:rPr>
      </w:pPr>
      <w:r w:rsidRPr="009172A2">
        <w:rPr>
          <w:rFonts w:ascii="Arial" w:hAnsi="Arial" w:cs="Arial"/>
        </w:rPr>
        <w:t>V Praze, dne ………………</w:t>
      </w:r>
    </w:p>
    <w:p w:rsidR="00575E3B" w:rsidRPr="009172A2" w:rsidRDefault="00575E3B" w:rsidP="00575E3B">
      <w:pPr>
        <w:rPr>
          <w:rFonts w:ascii="Arial" w:hAnsi="Arial" w:cs="Arial"/>
        </w:rPr>
      </w:pPr>
    </w:p>
    <w:p w:rsidR="00575E3B" w:rsidRPr="009172A2" w:rsidRDefault="00575E3B" w:rsidP="00575E3B">
      <w:pPr>
        <w:ind w:left="4248" w:firstLine="708"/>
        <w:rPr>
          <w:rFonts w:ascii="Arial" w:hAnsi="Arial" w:cs="Arial"/>
        </w:rPr>
      </w:pPr>
      <w:r w:rsidRPr="009172A2">
        <w:rPr>
          <w:rFonts w:ascii="Arial" w:hAnsi="Arial" w:cs="Arial"/>
        </w:rPr>
        <w:t>………………………………</w:t>
      </w:r>
    </w:p>
    <w:p w:rsidR="00575E3B" w:rsidRPr="00A470DC" w:rsidRDefault="00575E3B" w:rsidP="00A470DC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</w:rPr>
      </w:pPr>
      <w:r w:rsidRPr="009172A2">
        <w:rPr>
          <w:rFonts w:ascii="Arial" w:hAnsi="Arial" w:cs="Arial"/>
        </w:rPr>
        <w:t>(</w:t>
      </w:r>
      <w:r w:rsidRPr="009172A2">
        <w:rPr>
          <w:rFonts w:ascii="Arial" w:hAnsi="Arial" w:cs="Arial"/>
          <w:highlight w:val="lightGray"/>
        </w:rPr>
        <w:t>podpis osoby oprávněné vydat podmínky a uvedení jejího jména a funkce</w:t>
      </w:r>
      <w:r w:rsidRPr="009172A2">
        <w:rPr>
          <w:rFonts w:ascii="Arial" w:hAnsi="Arial" w:cs="Arial"/>
        </w:rPr>
        <w:t>)</w:t>
      </w:r>
    </w:p>
    <w:sectPr w:rsidR="00575E3B" w:rsidRPr="00A470DC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4C99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r w:rsidR="00454C99">
            <w:fldChar w:fldCharType="begin"/>
          </w:r>
          <w:r w:rsidR="00454C99">
            <w:instrText xml:space="preserve"> NUMPAGES   \* MERGEFORMAT </w:instrText>
          </w:r>
          <w:r w:rsidR="00454C99">
            <w:fldChar w:fldCharType="separate"/>
          </w:r>
          <w:r w:rsidR="00454C99">
            <w:rPr>
              <w:noProof/>
            </w:rPr>
            <w:t>11</w:t>
          </w:r>
          <w:r w:rsidR="00454C99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4C9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54C99">
            <w:fldChar w:fldCharType="begin"/>
          </w:r>
          <w:r w:rsidR="00454C99">
            <w:instrText xml:space="preserve"> NUMPAGES   \* MERGEFORMAT </w:instrText>
          </w:r>
          <w:r w:rsidR="00454C99">
            <w:fldChar w:fldCharType="separate"/>
          </w:r>
          <w:r w:rsidR="00454C99">
            <w:rPr>
              <w:noProof/>
            </w:rPr>
            <w:t>11</w:t>
          </w:r>
          <w:r w:rsidR="00454C99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575E3B" w:rsidRPr="00C16DD0" w:rsidRDefault="00575E3B" w:rsidP="00575E3B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</w:t>
      </w:r>
      <w:r>
        <w:t>Doplňte příslušnou specifickou část pravidel pro žadatele a příjemce</w:t>
      </w:r>
      <w:r w:rsidRPr="00C16DD0">
        <w:rPr>
          <w:szCs w:val="18"/>
        </w:rPr>
        <w:t>.</w:t>
      </w:r>
    </w:p>
  </w:footnote>
  <w:footnote w:id="2">
    <w:p w:rsidR="00575E3B" w:rsidRDefault="00575E3B" w:rsidP="00575E3B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3">
    <w:p w:rsidR="00575E3B" w:rsidRDefault="00575E3B" w:rsidP="00575E3B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4">
    <w:p w:rsidR="00575E3B" w:rsidRDefault="00575E3B" w:rsidP="00575E3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5">
    <w:p w:rsidR="00575E3B" w:rsidRDefault="00575E3B" w:rsidP="00575E3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6">
    <w:p w:rsidR="00575E3B" w:rsidRDefault="00575E3B" w:rsidP="00575E3B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40B8E9F" wp14:editId="7A6B5C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4C9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11</Pages>
  <Words>4234</Words>
  <Characters>24982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2015-11-03T14:18:00Z</dcterms:created>
  <dcterms:modified xsi:type="dcterms:W3CDTF">2015-11-03T14:18:00Z</dcterms:modified>
</cp:coreProperties>
</file>