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5" w:rsidRPr="00760CA8" w:rsidRDefault="00F548E5" w:rsidP="00F548E5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žadatele o podporu de minimis dle nařízení</w:t>
      </w:r>
      <w:r>
        <w:rPr>
          <w:rFonts w:ascii="Arial" w:hAnsi="Arial" w:cs="Arial"/>
          <w:b/>
          <w:bCs/>
          <w:caps/>
        </w:rPr>
        <w:t xml:space="preserve"> </w:t>
      </w:r>
      <w:r w:rsidRPr="00760CA8">
        <w:rPr>
          <w:rFonts w:ascii="Arial" w:hAnsi="Arial" w:cs="Arial"/>
          <w:b/>
          <w:bCs/>
          <w:caps/>
        </w:rPr>
        <w:t>č.</w:t>
      </w:r>
      <w:r>
        <w:rPr>
          <w:rFonts w:ascii="Arial" w:hAnsi="Arial" w:cs="Arial"/>
          <w:b/>
          <w:bCs/>
          <w:caps/>
        </w:rPr>
        <w:t> </w:t>
      </w:r>
      <w:r w:rsidRPr="00760CA8">
        <w:rPr>
          <w:rFonts w:ascii="Arial" w:hAnsi="Arial" w:cs="Arial"/>
          <w:b/>
          <w:bCs/>
          <w:caps/>
        </w:rPr>
        <w:t>1407/2013</w:t>
      </w:r>
    </w:p>
    <w:p w:rsidR="00F548E5" w:rsidRPr="00760CA8" w:rsidRDefault="00F548E5" w:rsidP="00F548E5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IČ</w:t>
            </w:r>
            <w:r w:rsidRPr="00760CA8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Poslední dvě uzavřená a aktuální účetní období</w:t>
      </w:r>
      <w:r w:rsidRPr="00760CA8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všechna shodná s kalendářními roky (tedy vždy 1. 1. – 31. 12. příslušného roku)*</w:t>
            </w:r>
          </w:p>
        </w:tc>
      </w:tr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shodná s kalendářními roky a jsou následující:*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proofErr w:type="gramStart"/>
            <w:r w:rsidRPr="00760CA8">
              <w:t>Od</w:t>
            </w:r>
            <w:proofErr w:type="gramEnd"/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proofErr w:type="gramStart"/>
            <w:r w:rsidRPr="00760CA8">
              <w:t>Do</w:t>
            </w:r>
            <w:proofErr w:type="gramEnd"/>
          </w:p>
        </w:tc>
      </w:tr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Podniky</w:t>
      </w:r>
      <w:r w:rsidRPr="00760CA8">
        <w:rPr>
          <w:rStyle w:val="Znakapoznpodarou"/>
          <w:rFonts w:ascii="Arial" w:eastAsiaTheme="majorEastAsia" w:hAnsi="Arial" w:cs="Arial"/>
          <w:b/>
        </w:rPr>
        <w:footnoteReference w:id="3"/>
      </w:r>
      <w:r w:rsidRPr="00760CA8">
        <w:rPr>
          <w:rFonts w:ascii="Arial" w:hAnsi="Arial" w:cs="Arial"/>
          <w:b/>
          <w:szCs w:val="32"/>
        </w:rPr>
        <w:t xml:space="preserve"> propojené se žadatelem</w:t>
      </w:r>
      <w:r w:rsidRPr="00760CA8">
        <w:rPr>
          <w:rFonts w:ascii="Arial" w:hAnsi="Arial" w:cs="Arial"/>
          <w:szCs w:val="32"/>
        </w:rPr>
        <w:t xml:space="preserve"> o podporu de minimis ve smyslu definice jednoho podniku: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se považuje za propojený s jinými podniky, pokud tyto subjekty mezi sebou mají některý z následujících vztahů: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vlastní více než 50 % hlasovacích práv, která náležejí akcionářům nebo společníkům, v jiném subjektu;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má právo jmenovat nebo odvolat více než 50 % členů správního, řídícího nebo dozorčího orgánu jiného subjektu;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má právo uplatňovat více než 50% vliv v jiném subjektu podle smlouvy uzavřené s daným subjektem nebo dle ustanovení v zakladatelské smlouvě nebo ve stanovách tohoto subjektu;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lastRenderedPageBreak/>
        <w:t>jeden subjekt, který je akcionářem nebo společníkem</w:t>
      </w:r>
      <w:r>
        <w:t xml:space="preserve"> jiného subjektu, ovládá sám, v </w:t>
      </w:r>
      <w:r w:rsidRPr="00760CA8">
        <w:t>souladu s dohodou uzavřenou s jinými akcionáři nebo společníky daného subjektu, více než 50 % hlasovacích práv, náležejících</w:t>
      </w:r>
      <w:r>
        <w:t xml:space="preserve"> akcionářům nebo společníkům, v </w:t>
      </w:r>
      <w:r w:rsidRPr="00760CA8">
        <w:t>daném subjektu.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Subjekty, které mají s žadatelem o podporu de minimis jakýkoli vztah uvedený pod písm. a) až d)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>, se také považují za podnik propojený s žadatelem o podporu de minimis.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Do výčtu podniků propojených přímo či zprostředkovaně se žadatelem o podporu de minimis se zahrnují </w:t>
      </w:r>
      <w:r w:rsidRPr="00760CA8">
        <w:rPr>
          <w:rFonts w:ascii="Arial" w:hAnsi="Arial" w:cs="Arial"/>
          <w:u w:val="single"/>
        </w:rPr>
        <w:t>osoby zapsané v základních registrech</w:t>
      </w:r>
      <w:r w:rsidRPr="00760CA8">
        <w:rPr>
          <w:rFonts w:ascii="Arial" w:hAnsi="Arial" w:cs="Arial"/>
        </w:rPr>
        <w:t xml:space="preserve"> v souladu se zákonem č. 111/2009 Sb., o základních registrech, ve znění pozdějších předpisů.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není</w:t>
            </w:r>
            <w:r w:rsidRPr="00760CA8">
              <w:t xml:space="preserve"> ve výše uvedeném smyslu propojen s jiným podnikem *</w:t>
            </w:r>
          </w:p>
        </w:tc>
      </w:tr>
      <w:tr w:rsidR="00F548E5" w:rsidRPr="00760CA8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je</w:t>
            </w:r>
            <w:r w:rsidRPr="00760CA8">
              <w:t xml:space="preserve"> ve výše uvedeném smyslu propojen s níže uvedenými podniky:*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:rsidTr="00F548E5">
        <w:tc>
          <w:tcPr>
            <w:tcW w:w="539" w:type="dxa"/>
            <w:vAlign w:val="center"/>
          </w:tcPr>
          <w:p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Obchodní jméno podniku/Jméno  a příjmení</w:t>
            </w:r>
            <w:r w:rsidRPr="00760CA8"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Sídlo/Adresa</w:t>
            </w:r>
          </w:p>
        </w:tc>
        <w:tc>
          <w:tcPr>
            <w:tcW w:w="1966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IČ/Datum narození</w:t>
            </w: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2.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3.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…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spojením podniků či nabytím podniku *</w:t>
            </w:r>
          </w:p>
        </w:tc>
      </w:tr>
      <w:tr w:rsidR="00F548E5" w:rsidRPr="00760CA8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spojením (fúzí splynutím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760CA8">
              <w:t xml:space="preserve">) níže uvedených podniků:* </w:t>
            </w:r>
          </w:p>
        </w:tc>
      </w:tr>
      <w:tr w:rsidR="00F548E5" w:rsidRPr="00760CA8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Žadatel o podporu de minimis prohlašuje, že podnik (žadatel) v současném a 2 předcházejících účetních obdobích nabytím (fúzí sloučením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760CA8">
              <w:t xml:space="preserve">) </w:t>
            </w:r>
            <w:r w:rsidRPr="00760CA8">
              <w:rPr>
                <w:u w:val="single"/>
              </w:rPr>
              <w:t>převzal</w:t>
            </w:r>
            <w:r w:rsidRPr="00760CA8">
              <w:t xml:space="preserve"> jmění níže uvedených podniků:*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:rsidTr="00F548E5">
        <w:tc>
          <w:tcPr>
            <w:tcW w:w="539" w:type="dxa"/>
            <w:vAlign w:val="center"/>
          </w:tcPr>
          <w:p w:rsidR="00F548E5" w:rsidRPr="00760CA8" w:rsidRDefault="001F298E" w:rsidP="001F298E">
            <w:pPr>
              <w:pStyle w:val="Tabulkatext13"/>
              <w:widowControl w:val="0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Obchodní jméno podniku</w:t>
            </w:r>
          </w:p>
        </w:tc>
        <w:tc>
          <w:tcPr>
            <w:tcW w:w="2774" w:type="dxa"/>
            <w:vAlign w:val="center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Sídlo</w:t>
            </w:r>
          </w:p>
        </w:tc>
        <w:tc>
          <w:tcPr>
            <w:tcW w:w="1966" w:type="dxa"/>
            <w:vAlign w:val="center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IČ</w:t>
            </w: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1.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2.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3.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…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</w:rPr>
      </w:pPr>
    </w:p>
    <w:p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lastRenderedPageBreak/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:rsidR="00F548E5" w:rsidRPr="00760CA8" w:rsidRDefault="00F548E5" w:rsidP="001F298E">
      <w:pPr>
        <w:spacing w:after="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rozdělením (rozštěpením nebo odštěpením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760CA8">
              <w:t xml:space="preserve">) </w:t>
            </w:r>
            <w:proofErr w:type="gramStart"/>
            <w:r w:rsidRPr="00760CA8">
              <w:t>podniku.*</w:t>
            </w:r>
            <w:proofErr w:type="gramEnd"/>
          </w:p>
        </w:tc>
      </w:tr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rozdělením (rozštěpením nebo odštěpením) níže uvedeného podniku (případně uvedených podniků):*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426"/>
        <w:gridCol w:w="3947"/>
        <w:gridCol w:w="2554"/>
        <w:gridCol w:w="2145"/>
      </w:tblGrid>
      <w:tr w:rsidR="00F548E5" w:rsidRPr="00760CA8" w:rsidTr="001F298E">
        <w:tc>
          <w:tcPr>
            <w:tcW w:w="426" w:type="dxa"/>
            <w:vAlign w:val="center"/>
          </w:tcPr>
          <w:p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947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554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Sídlo</w:t>
            </w:r>
          </w:p>
        </w:tc>
        <w:tc>
          <w:tcPr>
            <w:tcW w:w="2145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IČ</w:t>
            </w:r>
            <w:bookmarkStart w:id="0" w:name="_GoBack"/>
            <w:bookmarkEnd w:id="0"/>
          </w:p>
        </w:tc>
      </w:tr>
      <w:tr w:rsidR="00F548E5" w:rsidRPr="00760CA8" w:rsidTr="001F298E">
        <w:tc>
          <w:tcPr>
            <w:tcW w:w="426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947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55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145" w:type="dxa"/>
          </w:tcPr>
          <w:p w:rsidR="00F548E5" w:rsidRPr="00760CA8" w:rsidRDefault="00F548E5" w:rsidP="00D9665B">
            <w:pPr>
              <w:pStyle w:val="Tabulkatext13"/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</w:rPr>
      </w:pPr>
    </w:p>
    <w:p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</w:t>
      </w:r>
      <w:r>
        <w:rPr>
          <w:rFonts w:ascii="Arial" w:hAnsi="Arial" w:cs="Arial"/>
        </w:rPr>
        <w:t xml:space="preserve"> rozdělení </w:t>
      </w:r>
      <w:r w:rsidRPr="00760CA8">
        <w:rPr>
          <w:rFonts w:ascii="Arial" w:hAnsi="Arial" w:cs="Arial"/>
        </w:rPr>
        <w:t>podnik</w:t>
      </w:r>
      <w:r>
        <w:rPr>
          <w:rFonts w:ascii="Arial" w:hAnsi="Arial" w:cs="Arial"/>
        </w:rPr>
        <w:t>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760CA8">
        <w:rPr>
          <w:rStyle w:val="Znakapoznpodarou"/>
          <w:rFonts w:ascii="Arial" w:eastAsiaTheme="majorEastAsia" w:hAnsi="Arial" w:cs="Arial"/>
        </w:rPr>
        <w:footnoteReference w:id="8"/>
      </w:r>
      <w:r w:rsidRPr="00760CA8">
        <w:rPr>
          <w:rFonts w:ascii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F548E5" w:rsidRPr="00760CA8" w:rsidTr="00D9665B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Částka v Kč</w:t>
            </w: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Žadatel o podporu de minimis dále prohlašuje, že:</w:t>
      </w:r>
    </w:p>
    <w:p w:rsidR="00F548E5" w:rsidRPr="00760CA8" w:rsidRDefault="00F548E5" w:rsidP="00F548E5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není podnikem činným v odvětvích rybolovu a akvakultury, na které se vztahuje nařízení Rady (ES) č. 104/2000, nebo</w:t>
      </w:r>
    </w:p>
    <w:p w:rsidR="00F548E5" w:rsidRPr="00760CA8" w:rsidRDefault="00F548E5" w:rsidP="00F548E5">
      <w:pPr>
        <w:spacing w:after="120"/>
        <w:ind w:left="284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pokud takovým podnikem je, že podpora, k níž se vztahuje toto prohlášení, nebude ani nepřímo využívána pro potřeby rybolovu a akvakultury a že aktivity, na které má být </w:t>
      </w:r>
      <w:r w:rsidRPr="00760CA8">
        <w:rPr>
          <w:rFonts w:ascii="Arial" w:hAnsi="Arial" w:cs="Arial"/>
        </w:rPr>
        <w:lastRenderedPageBreak/>
        <w:t xml:space="preserve">poskytnuta podpora de minimis, jsou účetně odděleny od </w:t>
      </w:r>
      <w:r>
        <w:rPr>
          <w:rFonts w:ascii="Arial" w:hAnsi="Arial" w:cs="Arial"/>
        </w:rPr>
        <w:t>činností v odvětvích rybolovu a </w:t>
      </w:r>
      <w:r w:rsidRPr="00760CA8">
        <w:rPr>
          <w:rFonts w:ascii="Arial" w:hAnsi="Arial" w:cs="Arial"/>
        </w:rPr>
        <w:t>akvakultury.</w:t>
      </w:r>
    </w:p>
    <w:p w:rsidR="00F548E5" w:rsidRPr="00760CA8" w:rsidRDefault="00F548E5" w:rsidP="00F548E5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není podnikem činným v odvětvích prvovýroby zemědělských produktů uvedených v příloze I Smlouvy o fungování EU, nebo</w:t>
      </w:r>
    </w:p>
    <w:p w:rsidR="00F548E5" w:rsidRPr="00760CA8" w:rsidRDefault="00F548E5" w:rsidP="00F548E5">
      <w:pPr>
        <w:spacing w:after="120"/>
        <w:ind w:left="284"/>
        <w:rPr>
          <w:rFonts w:ascii="Arial" w:hAnsi="Arial" w:cs="Arial"/>
        </w:rPr>
      </w:pPr>
      <w:r w:rsidRPr="00760CA8">
        <w:rPr>
          <w:rFonts w:ascii="Arial" w:hAnsi="Arial" w:cs="Arial"/>
        </w:rPr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produktů.</w:t>
      </w:r>
    </w:p>
    <w:p w:rsidR="00F548E5" w:rsidRPr="00760CA8" w:rsidRDefault="00F548E5" w:rsidP="00F548E5">
      <w:pPr>
        <w:pStyle w:val="Odstavecseseznamem"/>
        <w:keepNext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Není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>dopravy pro cizí potřebu, nebo</w:t>
            </w:r>
          </w:p>
          <w:p w:rsidR="00F548E5" w:rsidRPr="00760CA8" w:rsidRDefault="00F548E5" w:rsidP="00D9665B">
            <w:pPr>
              <w:pStyle w:val="Tabulkatext13"/>
            </w:pPr>
            <w:r w:rsidRPr="00760CA8">
              <w:t xml:space="preserve">pokud takovým podnikem je, že podpora, k níž se vztahuje toto prohlášení, nebude ani nepřímo využívána pro potřeby aktivit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minimis, jsou účetně odděleny od činností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potřebu. * </w:t>
            </w:r>
          </w:p>
        </w:tc>
      </w:tr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Je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minimis, spadají do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potřebu, přičemž podpora de minimis nebude použita pro nabývání vozidel pro silniční nákladní dopravu. * </w:t>
            </w:r>
          </w:p>
        </w:tc>
      </w:tr>
    </w:tbl>
    <w:p w:rsidR="00F548E5" w:rsidRPr="00760CA8" w:rsidRDefault="00F548E5" w:rsidP="00F548E5">
      <w:pPr>
        <w:spacing w:after="12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p w:rsidR="00F548E5" w:rsidRPr="00760CA8" w:rsidRDefault="00F548E5" w:rsidP="00F548E5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souhlasí se zpracováním svých osobních údajů obsažených v tomto prohlášení ve smyslu zákona č. 101/2000 Sb., o ochraně osobních údajů, za účelem evidence podpor de minimis v souladu se zákonem č. 215/2004 Sb., o 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zákona č. 101/2000 Sb., o ochraně osobních údajů.</w:t>
      </w:r>
    </w:p>
    <w:p w:rsidR="00F548E5" w:rsidRPr="00760CA8" w:rsidRDefault="00F548E5" w:rsidP="00F548E5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proofErr w:type="gramStart"/>
      <w:r w:rsidRPr="00760CA8">
        <w:rPr>
          <w:rFonts w:ascii="Arial" w:hAnsi="Arial" w:cs="Arial"/>
        </w:rPr>
        <w:t>se zavazuje</w:t>
      </w:r>
      <w:proofErr w:type="gramEnd"/>
      <w:r w:rsidRPr="00760CA8">
        <w:rPr>
          <w:rFonts w:ascii="Arial" w:hAnsi="Arial" w:cs="Arial"/>
        </w:rPr>
        <w:t xml:space="preserve"> k tomu, že v případě změny předmětných údajů v průběhu administrativního procesu poskytnutí podpory de minimis bude neprodleně informovat poskytovatele dané podpory o změnách, které u něj nastaly.</w:t>
      </w:r>
    </w:p>
    <w:p w:rsidR="00F548E5" w:rsidRPr="00760CA8" w:rsidRDefault="00F548E5" w:rsidP="00F548E5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dobrovolně.</w:t>
      </w:r>
    </w:p>
    <w:p w:rsidR="00F548E5" w:rsidRPr="00760CA8" w:rsidRDefault="00F548E5" w:rsidP="00F548E5">
      <w:pPr>
        <w:rPr>
          <w:rFonts w:ascii="Arial" w:hAnsi="Arial" w:cs="Arial"/>
        </w:rPr>
      </w:pPr>
    </w:p>
    <w:p w:rsidR="00F548E5" w:rsidRPr="00760CA8" w:rsidRDefault="00F548E5" w:rsidP="00F548E5">
      <w:pPr>
        <w:rPr>
          <w:rFonts w:ascii="Arial" w:hAnsi="Arial" w:cs="Arial"/>
        </w:rPr>
      </w:pP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298E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1F298E">
              <w:rPr>
                <w:noProof/>
              </w:rPr>
              <w:t>4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298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F298E">
              <w:rPr>
                <w:noProof/>
              </w:rPr>
              <w:t>4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Právnické osoby, za lomítkem pro osoby fyzické</w:t>
      </w:r>
    </w:p>
  </w:footnote>
  <w:footnote w:id="5">
    <w:p w:rsidR="00F548E5" w:rsidRPr="00E41F7E" w:rsidRDefault="00F548E5" w:rsidP="00F548E5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85pt;height:5.8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1F298E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2300D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548E5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6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F548E5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F548E5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6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F548E5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F548E5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2017-04-25T13:53:00Z</dcterms:created>
  <dcterms:modified xsi:type="dcterms:W3CDTF">2017-04-25T14:13:00Z</dcterms:modified>
</cp:coreProperties>
</file>